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7946"/>
      </w:tblGrid>
      <w:tr w:rsidR="00050A0F" w:rsidTr="001047DA">
        <w:trPr>
          <w:trHeight w:val="1928"/>
        </w:trPr>
        <w:tc>
          <w:tcPr>
            <w:tcW w:w="2660" w:type="dxa"/>
          </w:tcPr>
          <w:p w:rsidR="00050A0F" w:rsidRDefault="00050A0F" w:rsidP="00050A0F">
            <w:pPr>
              <w:jc w:val="center"/>
              <w:rPr>
                <w:rFonts w:ascii="Arial" w:hAnsi="Arial" w:cs="Arial"/>
                <w:b/>
                <w:caps/>
                <w:sz w:val="40"/>
                <w:szCs w:val="40"/>
              </w:rPr>
            </w:pPr>
            <w:bookmarkStart w:id="0" w:name="_GoBack"/>
            <w:bookmarkEnd w:id="0"/>
            <w:r>
              <w:rPr>
                <w:noProof/>
                <w:lang w:eastAsia="fr-FR"/>
              </w:rPr>
              <w:drawing>
                <wp:inline distT="0" distB="0" distL="0" distR="0" wp14:anchorId="47DB9D73" wp14:editId="4F341DCB">
                  <wp:extent cx="1322582" cy="9965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149" cy="1005309"/>
                          </a:xfrm>
                          <a:prstGeom prst="rect">
                            <a:avLst/>
                          </a:prstGeom>
                          <a:noFill/>
                          <a:ln>
                            <a:noFill/>
                          </a:ln>
                        </pic:spPr>
                      </pic:pic>
                    </a:graphicData>
                  </a:graphic>
                </wp:inline>
              </w:drawing>
            </w:r>
          </w:p>
        </w:tc>
        <w:tc>
          <w:tcPr>
            <w:tcW w:w="7946" w:type="dxa"/>
            <w:vAlign w:val="center"/>
          </w:tcPr>
          <w:p w:rsidR="00050A0F" w:rsidRDefault="00050A0F" w:rsidP="001047DA">
            <w:pPr>
              <w:jc w:val="center"/>
              <w:rPr>
                <w:rFonts w:ascii="Arial" w:hAnsi="Arial" w:cs="Arial"/>
                <w:b/>
                <w:caps/>
                <w:sz w:val="40"/>
                <w:szCs w:val="40"/>
              </w:rPr>
            </w:pPr>
            <w:r w:rsidRPr="001646FB">
              <w:rPr>
                <w:rFonts w:ascii="Arial" w:hAnsi="Arial" w:cs="Arial"/>
                <w:b/>
                <w:caps/>
                <w:sz w:val="40"/>
                <w:szCs w:val="40"/>
              </w:rPr>
              <w:t>Ecarts &amp; remarques relevés pendant les inspections des dépôts de Produits sanguins – Banque de données</w:t>
            </w:r>
            <w:r>
              <w:rPr>
                <w:rFonts w:ascii="Arial" w:hAnsi="Arial" w:cs="Arial"/>
                <w:b/>
                <w:caps/>
                <w:sz w:val="40"/>
                <w:szCs w:val="40"/>
              </w:rPr>
              <w:t>.</w:t>
            </w:r>
          </w:p>
        </w:tc>
      </w:tr>
    </w:tbl>
    <w:p w:rsidR="0019771D" w:rsidRPr="0019771D" w:rsidRDefault="0019771D" w:rsidP="00050A0F">
      <w:pPr>
        <w:jc w:val="center"/>
        <w:rPr>
          <w:rFonts w:ascii="Arial" w:hAnsi="Arial" w:cs="Arial"/>
          <w:b/>
          <w:caps/>
          <w:sz w:val="20"/>
          <w:szCs w:val="20"/>
        </w:rPr>
      </w:pPr>
    </w:p>
    <w:p w:rsidR="00013D2C" w:rsidRPr="00281095" w:rsidRDefault="00013D2C">
      <w:pPr>
        <w:rPr>
          <w:rFonts w:ascii="Arial" w:hAnsi="Arial" w:cs="Arial"/>
          <w:sz w:val="16"/>
          <w:szCs w:val="16"/>
        </w:rPr>
      </w:pPr>
    </w:p>
    <w:p w:rsidR="00013D2C" w:rsidRPr="001646FB" w:rsidRDefault="008A2FD3" w:rsidP="00EE33E9">
      <w:pPr>
        <w:shd w:val="clear" w:color="auto" w:fill="D9D9D9" w:themeFill="background1" w:themeFillShade="D9"/>
        <w:rPr>
          <w:rFonts w:ascii="Arial" w:hAnsi="Arial" w:cs="Arial"/>
          <w:b/>
          <w:caps/>
          <w:sz w:val="32"/>
          <w:szCs w:val="32"/>
        </w:rPr>
      </w:pPr>
      <w:r w:rsidRPr="001646FB">
        <w:rPr>
          <w:rFonts w:ascii="Arial" w:hAnsi="Arial" w:cs="Arial"/>
          <w:b/>
          <w:caps/>
          <w:sz w:val="32"/>
          <w:szCs w:val="32"/>
          <w:shd w:val="clear" w:color="auto" w:fill="D9D9D9" w:themeFill="background1" w:themeFillShade="D9"/>
        </w:rPr>
        <w:t>Période :</w:t>
      </w:r>
      <w:r w:rsidR="00805966" w:rsidRPr="001646FB">
        <w:rPr>
          <w:rFonts w:ascii="Arial" w:hAnsi="Arial" w:cs="Arial"/>
          <w:b/>
          <w:caps/>
          <w:sz w:val="32"/>
          <w:szCs w:val="32"/>
        </w:rPr>
        <w:t xml:space="preserve"> </w:t>
      </w:r>
    </w:p>
    <w:p w:rsidR="00EE33E9" w:rsidRPr="00A46EC0" w:rsidRDefault="00EE33E9">
      <w:pPr>
        <w:rPr>
          <w:rFonts w:ascii="Arial" w:hAnsi="Arial" w:cs="Arial"/>
          <w:sz w:val="16"/>
          <w:szCs w:val="16"/>
        </w:rPr>
      </w:pPr>
    </w:p>
    <w:p w:rsidR="008A2FD3" w:rsidRPr="00A46EC0" w:rsidRDefault="000A63C3">
      <w:pPr>
        <w:rPr>
          <w:rFonts w:ascii="Arial" w:hAnsi="Arial" w:cs="Arial"/>
          <w:sz w:val="24"/>
          <w:szCs w:val="24"/>
        </w:rPr>
      </w:pPr>
      <w:r w:rsidRPr="00A46EC0">
        <w:rPr>
          <w:rFonts w:ascii="Arial" w:hAnsi="Arial" w:cs="Arial"/>
          <w:sz w:val="24"/>
          <w:szCs w:val="24"/>
        </w:rPr>
        <w:t xml:space="preserve">Décembre </w:t>
      </w:r>
      <w:r w:rsidR="00805966" w:rsidRPr="00A46EC0">
        <w:rPr>
          <w:rFonts w:ascii="Arial" w:hAnsi="Arial" w:cs="Arial"/>
          <w:sz w:val="24"/>
          <w:szCs w:val="24"/>
        </w:rPr>
        <w:t>2017 - Juin 2019</w:t>
      </w:r>
    </w:p>
    <w:p w:rsidR="008A2FD3" w:rsidRDefault="008A2FD3">
      <w:pPr>
        <w:rPr>
          <w:rFonts w:ascii="Arial" w:hAnsi="Arial" w:cs="Arial"/>
          <w:sz w:val="16"/>
          <w:szCs w:val="16"/>
        </w:rPr>
      </w:pPr>
    </w:p>
    <w:p w:rsidR="00013D2C" w:rsidRPr="001646FB" w:rsidRDefault="008A2FD3" w:rsidP="00EE33E9">
      <w:pPr>
        <w:shd w:val="clear" w:color="auto" w:fill="D9D9D9" w:themeFill="background1" w:themeFillShade="D9"/>
        <w:rPr>
          <w:rFonts w:ascii="Arial" w:hAnsi="Arial" w:cs="Arial"/>
          <w:b/>
          <w:caps/>
          <w:sz w:val="32"/>
          <w:szCs w:val="32"/>
        </w:rPr>
      </w:pPr>
      <w:r w:rsidRPr="001646FB">
        <w:rPr>
          <w:rFonts w:ascii="Arial" w:hAnsi="Arial" w:cs="Arial"/>
          <w:b/>
          <w:caps/>
          <w:sz w:val="32"/>
          <w:szCs w:val="32"/>
          <w:shd w:val="clear" w:color="auto" w:fill="D9D9D9" w:themeFill="background1" w:themeFillShade="D9"/>
        </w:rPr>
        <w:t>Rédacteur :</w:t>
      </w:r>
      <w:r w:rsidR="00805966" w:rsidRPr="001646FB">
        <w:rPr>
          <w:rFonts w:ascii="Arial" w:hAnsi="Arial" w:cs="Arial"/>
          <w:b/>
          <w:caps/>
          <w:sz w:val="32"/>
          <w:szCs w:val="32"/>
        </w:rPr>
        <w:t xml:space="preserve"> </w:t>
      </w:r>
    </w:p>
    <w:p w:rsidR="00EE33E9" w:rsidRPr="00A46EC0" w:rsidRDefault="00EE33E9">
      <w:pPr>
        <w:rPr>
          <w:rFonts w:ascii="Arial" w:hAnsi="Arial" w:cs="Arial"/>
          <w:sz w:val="16"/>
          <w:szCs w:val="16"/>
        </w:rPr>
      </w:pPr>
    </w:p>
    <w:p w:rsidR="008A2FD3" w:rsidRPr="00A46EC0" w:rsidRDefault="00805966">
      <w:pPr>
        <w:rPr>
          <w:rFonts w:ascii="Arial" w:hAnsi="Arial" w:cs="Arial"/>
          <w:b/>
          <w:sz w:val="24"/>
          <w:szCs w:val="24"/>
        </w:rPr>
      </w:pPr>
      <w:r w:rsidRPr="00A46EC0">
        <w:rPr>
          <w:rFonts w:ascii="Arial" w:hAnsi="Arial" w:cs="Arial"/>
          <w:sz w:val="24"/>
          <w:szCs w:val="24"/>
        </w:rPr>
        <w:t>Dr O Lemaire</w:t>
      </w:r>
    </w:p>
    <w:p w:rsidR="008A2FD3" w:rsidRDefault="008A2FD3">
      <w:pPr>
        <w:rPr>
          <w:rFonts w:ascii="Arial" w:hAnsi="Arial" w:cs="Arial"/>
          <w:sz w:val="16"/>
          <w:szCs w:val="16"/>
        </w:rPr>
      </w:pPr>
    </w:p>
    <w:p w:rsidR="00013D2C" w:rsidRPr="001646FB" w:rsidRDefault="008F4C4F" w:rsidP="00EE33E9">
      <w:pPr>
        <w:shd w:val="clear" w:color="auto" w:fill="D9D9D9" w:themeFill="background1" w:themeFillShade="D9"/>
        <w:rPr>
          <w:rFonts w:ascii="Arial" w:hAnsi="Arial" w:cs="Arial"/>
          <w:b/>
          <w:caps/>
          <w:sz w:val="32"/>
          <w:szCs w:val="32"/>
        </w:rPr>
      </w:pPr>
      <w:r>
        <w:rPr>
          <w:rFonts w:ascii="Arial" w:hAnsi="Arial" w:cs="Arial"/>
          <w:b/>
          <w:caps/>
          <w:sz w:val="32"/>
          <w:szCs w:val="32"/>
          <w:shd w:val="clear" w:color="auto" w:fill="D9D9D9" w:themeFill="background1" w:themeFillShade="D9"/>
        </w:rPr>
        <w:t>Les Dépôts CONCERNEs</w:t>
      </w:r>
      <w:r w:rsidRPr="001646FB">
        <w:rPr>
          <w:rFonts w:ascii="Arial" w:hAnsi="Arial" w:cs="Arial"/>
          <w:b/>
          <w:caps/>
          <w:sz w:val="32"/>
          <w:szCs w:val="32"/>
          <w:shd w:val="clear" w:color="auto" w:fill="D9D9D9" w:themeFill="background1" w:themeFillShade="D9"/>
        </w:rPr>
        <w:t> </w:t>
      </w:r>
      <w:r w:rsidRPr="001646FB">
        <w:rPr>
          <w:rFonts w:ascii="Arial" w:hAnsi="Arial" w:cs="Arial"/>
          <w:b/>
          <w:caps/>
          <w:sz w:val="32"/>
          <w:szCs w:val="32"/>
        </w:rPr>
        <w:t xml:space="preserve">: </w:t>
      </w:r>
    </w:p>
    <w:p w:rsidR="00EE33E9" w:rsidRPr="00A46EC0" w:rsidRDefault="00EE33E9">
      <w:pPr>
        <w:rPr>
          <w:rFonts w:ascii="Arial" w:hAnsi="Arial" w:cs="Arial"/>
          <w:sz w:val="16"/>
          <w:szCs w:val="16"/>
        </w:rPr>
      </w:pPr>
    </w:p>
    <w:p w:rsidR="00281095" w:rsidRPr="00A46EC0" w:rsidRDefault="006E529A">
      <w:pPr>
        <w:rPr>
          <w:rFonts w:ascii="Arial" w:hAnsi="Arial" w:cs="Arial"/>
          <w:sz w:val="24"/>
          <w:szCs w:val="24"/>
        </w:rPr>
      </w:pPr>
      <w:r w:rsidRPr="00A46EC0">
        <w:rPr>
          <w:rFonts w:ascii="Arial" w:hAnsi="Arial" w:cs="Arial"/>
          <w:sz w:val="24"/>
          <w:szCs w:val="24"/>
        </w:rPr>
        <w:t>Départements</w:t>
      </w:r>
      <w:r w:rsidR="00050A0F" w:rsidRPr="00A46EC0">
        <w:rPr>
          <w:rFonts w:ascii="Arial" w:hAnsi="Arial" w:cs="Arial"/>
          <w:sz w:val="24"/>
          <w:szCs w:val="24"/>
        </w:rPr>
        <w:t> :</w:t>
      </w:r>
      <w:r w:rsidRPr="00A46EC0">
        <w:rPr>
          <w:rFonts w:ascii="Arial" w:hAnsi="Arial" w:cs="Arial"/>
          <w:sz w:val="24"/>
          <w:szCs w:val="24"/>
        </w:rPr>
        <w:t xml:space="preserve"> 26 38 73 74</w:t>
      </w:r>
    </w:p>
    <w:p w:rsidR="000A63C3" w:rsidRPr="00A46EC0" w:rsidRDefault="000A63C3">
      <w:pPr>
        <w:rPr>
          <w:rFonts w:ascii="Arial" w:hAnsi="Arial" w:cs="Arial"/>
          <w:sz w:val="24"/>
          <w:szCs w:val="24"/>
        </w:rPr>
      </w:pPr>
      <w:r w:rsidRPr="00A46EC0">
        <w:rPr>
          <w:rFonts w:ascii="Arial" w:hAnsi="Arial" w:cs="Arial"/>
          <w:sz w:val="24"/>
          <w:szCs w:val="24"/>
        </w:rPr>
        <w:t>Dépôts ins</w:t>
      </w:r>
      <w:r w:rsidR="001646FB" w:rsidRPr="00A46EC0">
        <w:rPr>
          <w:rFonts w:ascii="Arial" w:hAnsi="Arial" w:cs="Arial"/>
          <w:sz w:val="24"/>
          <w:szCs w:val="24"/>
        </w:rPr>
        <w:t>pectés pendant cette période : 09</w:t>
      </w:r>
    </w:p>
    <w:p w:rsidR="00281095" w:rsidRPr="00013D2C" w:rsidRDefault="00281095">
      <w:pPr>
        <w:rPr>
          <w:rFonts w:ascii="Arial" w:hAnsi="Arial" w:cs="Arial"/>
          <w:sz w:val="16"/>
          <w:szCs w:val="16"/>
        </w:rPr>
      </w:pPr>
    </w:p>
    <w:p w:rsidR="00013D2C" w:rsidRPr="001646FB" w:rsidRDefault="008A2FD3" w:rsidP="00EE33E9">
      <w:pPr>
        <w:shd w:val="clear" w:color="auto" w:fill="D9D9D9" w:themeFill="background1" w:themeFillShade="D9"/>
        <w:rPr>
          <w:rFonts w:ascii="Arial" w:hAnsi="Arial" w:cs="Arial"/>
          <w:b/>
          <w:caps/>
          <w:sz w:val="32"/>
          <w:szCs w:val="32"/>
        </w:rPr>
      </w:pPr>
      <w:r w:rsidRPr="001646FB">
        <w:rPr>
          <w:rFonts w:ascii="Arial" w:hAnsi="Arial" w:cs="Arial"/>
          <w:b/>
          <w:caps/>
          <w:sz w:val="32"/>
          <w:szCs w:val="32"/>
          <w:shd w:val="clear" w:color="auto" w:fill="D9D9D9" w:themeFill="background1" w:themeFillShade="D9"/>
        </w:rPr>
        <w:t>Rappels :</w:t>
      </w:r>
      <w:r w:rsidR="00805966" w:rsidRPr="001646FB">
        <w:rPr>
          <w:rFonts w:ascii="Arial" w:hAnsi="Arial" w:cs="Arial"/>
          <w:b/>
          <w:caps/>
          <w:sz w:val="32"/>
          <w:szCs w:val="32"/>
        </w:rPr>
        <w:t xml:space="preserve"> </w:t>
      </w:r>
    </w:p>
    <w:p w:rsidR="00EE33E9" w:rsidRPr="001646FB" w:rsidRDefault="00EE33E9" w:rsidP="00013D2C">
      <w:pPr>
        <w:jc w:val="both"/>
        <w:rPr>
          <w:rFonts w:ascii="Arial" w:hAnsi="Arial" w:cs="Arial"/>
          <w:sz w:val="16"/>
          <w:szCs w:val="16"/>
        </w:rPr>
      </w:pPr>
    </w:p>
    <w:p w:rsidR="003E48F7" w:rsidRPr="001646FB" w:rsidRDefault="003E48F7" w:rsidP="00013D2C">
      <w:pPr>
        <w:jc w:val="both"/>
        <w:rPr>
          <w:rFonts w:ascii="Arial" w:hAnsi="Arial" w:cs="Arial"/>
          <w:sz w:val="24"/>
          <w:szCs w:val="24"/>
        </w:rPr>
      </w:pPr>
      <w:r w:rsidRPr="001646FB">
        <w:rPr>
          <w:rFonts w:ascii="Arial" w:hAnsi="Arial" w:cs="Arial"/>
          <w:sz w:val="24"/>
          <w:szCs w:val="24"/>
        </w:rPr>
        <w:t xml:space="preserve">La procédure d’autorisation des dépôts de produits sanguins prévue par les articles D1221-20 et suivants du code de la santé publique prévoit </w:t>
      </w:r>
      <w:r w:rsidR="00DC62AC" w:rsidRPr="001646FB">
        <w:rPr>
          <w:rFonts w:ascii="Arial" w:hAnsi="Arial" w:cs="Arial"/>
          <w:sz w:val="24"/>
          <w:szCs w:val="24"/>
        </w:rPr>
        <w:t>expressément</w:t>
      </w:r>
      <w:r w:rsidRPr="001646FB">
        <w:rPr>
          <w:rFonts w:ascii="Arial" w:hAnsi="Arial" w:cs="Arial"/>
          <w:sz w:val="24"/>
          <w:szCs w:val="24"/>
        </w:rPr>
        <w:t xml:space="preserve"> une inspection </w:t>
      </w:r>
      <w:r w:rsidR="00DC62AC" w:rsidRPr="001646FB">
        <w:rPr>
          <w:rFonts w:ascii="Arial" w:hAnsi="Arial" w:cs="Arial"/>
          <w:sz w:val="24"/>
          <w:szCs w:val="24"/>
        </w:rPr>
        <w:t>pendant</w:t>
      </w:r>
      <w:r w:rsidRPr="001646FB">
        <w:rPr>
          <w:rFonts w:ascii="Arial" w:hAnsi="Arial" w:cs="Arial"/>
          <w:sz w:val="24"/>
          <w:szCs w:val="24"/>
        </w:rPr>
        <w:t xml:space="preserve"> la </w:t>
      </w:r>
      <w:r w:rsidR="00DC62AC" w:rsidRPr="001646FB">
        <w:rPr>
          <w:rFonts w:ascii="Arial" w:hAnsi="Arial" w:cs="Arial"/>
          <w:sz w:val="24"/>
          <w:szCs w:val="24"/>
        </w:rPr>
        <w:t>durée</w:t>
      </w:r>
      <w:r w:rsidRPr="001646FB">
        <w:rPr>
          <w:rFonts w:ascii="Arial" w:hAnsi="Arial" w:cs="Arial"/>
          <w:sz w:val="24"/>
          <w:szCs w:val="24"/>
        </w:rPr>
        <w:t xml:space="preserve"> de validité de l’autorisation.</w:t>
      </w:r>
    </w:p>
    <w:p w:rsidR="00A46EC0" w:rsidRPr="00A46EC0" w:rsidRDefault="00A46EC0" w:rsidP="00013D2C">
      <w:pPr>
        <w:jc w:val="both"/>
        <w:rPr>
          <w:rFonts w:ascii="Arial" w:hAnsi="Arial" w:cs="Arial"/>
          <w:sz w:val="16"/>
          <w:szCs w:val="16"/>
        </w:rPr>
      </w:pPr>
    </w:p>
    <w:p w:rsidR="00DC62AC" w:rsidRPr="001646FB" w:rsidRDefault="00DC62AC" w:rsidP="00013D2C">
      <w:pPr>
        <w:jc w:val="both"/>
        <w:rPr>
          <w:rFonts w:ascii="Arial" w:hAnsi="Arial" w:cs="Arial"/>
          <w:sz w:val="24"/>
          <w:szCs w:val="24"/>
        </w:rPr>
      </w:pPr>
      <w:r w:rsidRPr="001646FB">
        <w:rPr>
          <w:rFonts w:ascii="Arial" w:hAnsi="Arial" w:cs="Arial"/>
          <w:sz w:val="24"/>
          <w:szCs w:val="24"/>
        </w:rPr>
        <w:t xml:space="preserve">Ces inspections sont formalisées dans un rapport qui précise les remarques et </w:t>
      </w:r>
      <w:r w:rsidR="00013D2C" w:rsidRPr="001646FB">
        <w:rPr>
          <w:rFonts w:ascii="Arial" w:hAnsi="Arial" w:cs="Arial"/>
          <w:sz w:val="24"/>
          <w:szCs w:val="24"/>
        </w:rPr>
        <w:t xml:space="preserve">les </w:t>
      </w:r>
      <w:r w:rsidRPr="001646FB">
        <w:rPr>
          <w:rFonts w:ascii="Arial" w:hAnsi="Arial" w:cs="Arial"/>
          <w:sz w:val="24"/>
          <w:szCs w:val="24"/>
        </w:rPr>
        <w:t>écarts constatés</w:t>
      </w:r>
    </w:p>
    <w:p w:rsidR="00DC62AC" w:rsidRPr="001646FB" w:rsidRDefault="00DC62AC" w:rsidP="00013D2C">
      <w:pPr>
        <w:pStyle w:val="Paragraphedeliste"/>
        <w:numPr>
          <w:ilvl w:val="0"/>
          <w:numId w:val="1"/>
        </w:numPr>
        <w:jc w:val="both"/>
        <w:rPr>
          <w:rFonts w:ascii="Arial" w:hAnsi="Arial" w:cs="Arial"/>
          <w:sz w:val="24"/>
          <w:szCs w:val="24"/>
        </w:rPr>
      </w:pPr>
      <w:r w:rsidRPr="001646FB">
        <w:rPr>
          <w:rFonts w:ascii="Arial" w:hAnsi="Arial" w:cs="Arial"/>
          <w:sz w:val="24"/>
          <w:szCs w:val="24"/>
        </w:rPr>
        <w:t>Une remarque est un dysfonctionnement sans référence à une référence juridique opposable mais qui génère un risque plus ou moins critique</w:t>
      </w:r>
    </w:p>
    <w:p w:rsidR="00DC62AC" w:rsidRPr="001646FB" w:rsidRDefault="00DC62AC" w:rsidP="00013D2C">
      <w:pPr>
        <w:pStyle w:val="Paragraphedeliste"/>
        <w:numPr>
          <w:ilvl w:val="0"/>
          <w:numId w:val="1"/>
        </w:numPr>
        <w:jc w:val="both"/>
        <w:rPr>
          <w:rFonts w:ascii="Arial" w:hAnsi="Arial" w:cs="Arial"/>
          <w:sz w:val="24"/>
          <w:szCs w:val="24"/>
        </w:rPr>
      </w:pPr>
      <w:r w:rsidRPr="001646FB">
        <w:rPr>
          <w:rFonts w:ascii="Arial" w:hAnsi="Arial" w:cs="Arial"/>
          <w:sz w:val="24"/>
          <w:szCs w:val="24"/>
        </w:rPr>
        <w:t>Un écart est une non-conformité à une référence juridique opposable</w:t>
      </w:r>
    </w:p>
    <w:p w:rsidR="00EE33E9" w:rsidRDefault="00EE33E9">
      <w:pPr>
        <w:rPr>
          <w:rFonts w:ascii="Arial" w:hAnsi="Arial" w:cs="Arial"/>
          <w:sz w:val="16"/>
          <w:szCs w:val="16"/>
        </w:rPr>
      </w:pPr>
    </w:p>
    <w:p w:rsidR="00013D2C" w:rsidRPr="001646FB" w:rsidRDefault="00DC62AC" w:rsidP="00EE33E9">
      <w:pPr>
        <w:shd w:val="clear" w:color="auto" w:fill="D9D9D9" w:themeFill="background1" w:themeFillShade="D9"/>
        <w:rPr>
          <w:rFonts w:ascii="Arial" w:hAnsi="Arial" w:cs="Arial"/>
          <w:b/>
          <w:caps/>
          <w:sz w:val="32"/>
          <w:szCs w:val="32"/>
        </w:rPr>
      </w:pPr>
      <w:r w:rsidRPr="001646FB">
        <w:rPr>
          <w:rFonts w:ascii="Arial" w:hAnsi="Arial" w:cs="Arial"/>
          <w:b/>
          <w:caps/>
          <w:sz w:val="32"/>
          <w:szCs w:val="32"/>
          <w:shd w:val="clear" w:color="auto" w:fill="D9D9D9" w:themeFill="background1" w:themeFillShade="D9"/>
        </w:rPr>
        <w:t>Objectif</w:t>
      </w:r>
      <w:r w:rsidR="00761DB2" w:rsidRPr="001646FB">
        <w:rPr>
          <w:rFonts w:ascii="Arial" w:hAnsi="Arial" w:cs="Arial"/>
          <w:b/>
          <w:caps/>
          <w:sz w:val="32"/>
          <w:szCs w:val="32"/>
          <w:shd w:val="clear" w:color="auto" w:fill="D9D9D9" w:themeFill="background1" w:themeFillShade="D9"/>
        </w:rPr>
        <w:t>s</w:t>
      </w:r>
      <w:r w:rsidRPr="001646FB">
        <w:rPr>
          <w:rFonts w:ascii="Arial" w:hAnsi="Arial" w:cs="Arial"/>
          <w:b/>
          <w:caps/>
          <w:sz w:val="32"/>
          <w:szCs w:val="32"/>
          <w:shd w:val="clear" w:color="auto" w:fill="D9D9D9" w:themeFill="background1" w:themeFillShade="D9"/>
        </w:rPr>
        <w:t> :</w:t>
      </w:r>
      <w:r w:rsidR="00805966" w:rsidRPr="001646FB">
        <w:rPr>
          <w:rFonts w:ascii="Arial" w:hAnsi="Arial" w:cs="Arial"/>
          <w:b/>
          <w:caps/>
          <w:sz w:val="32"/>
          <w:szCs w:val="32"/>
        </w:rPr>
        <w:t xml:space="preserve"> </w:t>
      </w:r>
    </w:p>
    <w:p w:rsidR="00EE33E9" w:rsidRPr="001646FB" w:rsidRDefault="00EE33E9">
      <w:pPr>
        <w:rPr>
          <w:rFonts w:ascii="Arial" w:hAnsi="Arial" w:cs="Arial"/>
          <w:sz w:val="16"/>
          <w:szCs w:val="16"/>
        </w:rPr>
      </w:pPr>
    </w:p>
    <w:p w:rsidR="00013D2C" w:rsidRPr="001646FB" w:rsidRDefault="00281095">
      <w:pPr>
        <w:rPr>
          <w:rFonts w:ascii="Arial" w:hAnsi="Arial" w:cs="Arial"/>
          <w:sz w:val="24"/>
          <w:szCs w:val="24"/>
        </w:rPr>
      </w:pPr>
      <w:r w:rsidRPr="001646FB">
        <w:rPr>
          <w:rFonts w:ascii="Arial" w:hAnsi="Arial" w:cs="Arial"/>
          <w:sz w:val="24"/>
          <w:szCs w:val="24"/>
        </w:rPr>
        <w:t>Diffuser les données des inspections pour en faire bénéficier l’ensemble des dépôts</w:t>
      </w:r>
      <w:r w:rsidR="00050A0F" w:rsidRPr="001646FB">
        <w:rPr>
          <w:rFonts w:ascii="Arial" w:hAnsi="Arial" w:cs="Arial"/>
          <w:sz w:val="24"/>
          <w:szCs w:val="24"/>
        </w:rPr>
        <w:t xml:space="preserve"> en mettant à di</w:t>
      </w:r>
      <w:r w:rsidR="008F4C4F">
        <w:rPr>
          <w:rFonts w:ascii="Arial" w:hAnsi="Arial" w:cs="Arial"/>
          <w:sz w:val="24"/>
          <w:szCs w:val="24"/>
        </w:rPr>
        <w:t>sposition une banque de données qui sera actualisée régulièrement.</w:t>
      </w:r>
    </w:p>
    <w:p w:rsidR="001646FB" w:rsidRPr="001646FB" w:rsidRDefault="001646FB">
      <w:pPr>
        <w:rPr>
          <w:rFonts w:ascii="Arial" w:hAnsi="Arial" w:cs="Arial"/>
          <w:sz w:val="24"/>
          <w:szCs w:val="24"/>
        </w:rPr>
      </w:pPr>
    </w:p>
    <w:p w:rsidR="000A63C3" w:rsidRPr="001646FB" w:rsidRDefault="000A63C3">
      <w:pPr>
        <w:rPr>
          <w:rFonts w:ascii="Arial" w:hAnsi="Arial" w:cs="Arial"/>
          <w:sz w:val="24"/>
          <w:szCs w:val="24"/>
        </w:rPr>
      </w:pPr>
      <w:r w:rsidRPr="001646FB">
        <w:rPr>
          <w:rFonts w:ascii="Arial" w:hAnsi="Arial" w:cs="Arial"/>
          <w:sz w:val="24"/>
          <w:szCs w:val="24"/>
        </w:rPr>
        <w:t>Optimiser les futures inspections</w:t>
      </w:r>
      <w:r w:rsidR="008F4C4F">
        <w:rPr>
          <w:rFonts w:ascii="Arial" w:hAnsi="Arial" w:cs="Arial"/>
          <w:sz w:val="24"/>
          <w:szCs w:val="24"/>
        </w:rPr>
        <w:t>.</w:t>
      </w:r>
    </w:p>
    <w:p w:rsidR="001646FB" w:rsidRPr="001646FB" w:rsidRDefault="001646FB">
      <w:pPr>
        <w:rPr>
          <w:rFonts w:ascii="Arial" w:hAnsi="Arial" w:cs="Arial"/>
          <w:sz w:val="24"/>
          <w:szCs w:val="24"/>
        </w:rPr>
      </w:pPr>
    </w:p>
    <w:p w:rsidR="00DC62AC" w:rsidRPr="001646FB" w:rsidRDefault="001646FB">
      <w:pPr>
        <w:rPr>
          <w:rFonts w:ascii="Arial" w:hAnsi="Arial" w:cs="Arial"/>
          <w:sz w:val="24"/>
          <w:szCs w:val="24"/>
        </w:rPr>
      </w:pPr>
      <w:r w:rsidRPr="001646FB">
        <w:rPr>
          <w:rFonts w:ascii="Arial" w:hAnsi="Arial" w:cs="Arial"/>
          <w:sz w:val="24"/>
          <w:szCs w:val="24"/>
        </w:rPr>
        <w:t>Mettre en évidence les points de faiblesse et e</w:t>
      </w:r>
      <w:r w:rsidR="00A02CF4" w:rsidRPr="001646FB">
        <w:rPr>
          <w:rFonts w:ascii="Arial" w:hAnsi="Arial" w:cs="Arial"/>
          <w:sz w:val="24"/>
          <w:szCs w:val="24"/>
        </w:rPr>
        <w:t xml:space="preserve">nvisager la rédaction ou la révision </w:t>
      </w:r>
      <w:r w:rsidR="008F4C4F">
        <w:rPr>
          <w:rFonts w:ascii="Arial" w:hAnsi="Arial" w:cs="Arial"/>
          <w:sz w:val="24"/>
          <w:szCs w:val="24"/>
        </w:rPr>
        <w:t>de procédures cadres régionales.</w:t>
      </w:r>
    </w:p>
    <w:p w:rsidR="00DC62AC" w:rsidRDefault="00DC62AC">
      <w:pPr>
        <w:rPr>
          <w:rFonts w:ascii="Arial" w:hAnsi="Arial" w:cs="Arial"/>
          <w:sz w:val="16"/>
          <w:szCs w:val="16"/>
        </w:rPr>
      </w:pPr>
    </w:p>
    <w:p w:rsidR="00EE33E9" w:rsidRDefault="00EE33E9">
      <w:pPr>
        <w:rPr>
          <w:rFonts w:ascii="Arial" w:hAnsi="Arial" w:cs="Arial"/>
          <w:sz w:val="16"/>
          <w:szCs w:val="16"/>
        </w:rPr>
      </w:pPr>
      <w:r>
        <w:rPr>
          <w:rFonts w:ascii="Arial" w:hAnsi="Arial" w:cs="Arial"/>
          <w:sz w:val="16"/>
          <w:szCs w:val="16"/>
        </w:rPr>
        <w:br w:type="page"/>
      </w:r>
    </w:p>
    <w:p w:rsidR="000774E7" w:rsidRPr="00281095" w:rsidRDefault="000774E7" w:rsidP="00EE33E9">
      <w:pPr>
        <w:rPr>
          <w:rFonts w:ascii="Arial" w:hAnsi="Arial" w:cs="Arial"/>
          <w:sz w:val="16"/>
          <w:szCs w:val="16"/>
        </w:rPr>
      </w:pPr>
    </w:p>
    <w:p w:rsidR="00281095" w:rsidRPr="00A46EC0" w:rsidRDefault="00281095" w:rsidP="0001133C">
      <w:pPr>
        <w:shd w:val="clear" w:color="auto" w:fill="D9D9D9" w:themeFill="background1" w:themeFillShade="D9"/>
        <w:ind w:left="-284" w:right="-284"/>
        <w:jc w:val="both"/>
        <w:rPr>
          <w:rFonts w:ascii="Arial" w:hAnsi="Arial" w:cs="Arial"/>
          <w:b/>
          <w:caps/>
          <w:sz w:val="32"/>
          <w:szCs w:val="32"/>
        </w:rPr>
      </w:pPr>
      <w:r w:rsidRPr="00A46EC0">
        <w:rPr>
          <w:rFonts w:ascii="Arial" w:hAnsi="Arial" w:cs="Arial"/>
          <w:b/>
          <w:caps/>
          <w:sz w:val="32"/>
          <w:szCs w:val="32"/>
        </w:rPr>
        <w:t>Tableau des écarts et remarques constatés sur la période :</w:t>
      </w:r>
    </w:p>
    <w:p w:rsidR="00013D2C" w:rsidRPr="00013D2C" w:rsidRDefault="00013D2C">
      <w:pPr>
        <w:rPr>
          <w:rFonts w:ascii="Arial" w:hAnsi="Arial" w:cs="Arial"/>
          <w:b/>
          <w:sz w:val="16"/>
          <w:szCs w:val="16"/>
        </w:rPr>
      </w:pPr>
    </w:p>
    <w:tbl>
      <w:tblPr>
        <w:tblStyle w:val="Tramemoyenne2-Accent6"/>
        <w:tblW w:w="10823" w:type="dxa"/>
        <w:tblBorders>
          <w:top w:val="none" w:sz="0" w:space="0" w:color="auto"/>
          <w:bottom w:val="none" w:sz="0" w:space="0" w:color="auto"/>
        </w:tblBorders>
        <w:tblLook w:val="04A0" w:firstRow="1" w:lastRow="0" w:firstColumn="1" w:lastColumn="0" w:noHBand="0" w:noVBand="1"/>
      </w:tblPr>
      <w:tblGrid>
        <w:gridCol w:w="675"/>
        <w:gridCol w:w="4678"/>
        <w:gridCol w:w="4394"/>
        <w:gridCol w:w="1076"/>
      </w:tblGrid>
      <w:tr w:rsidR="00E04C1D" w:rsidRPr="000774E7" w:rsidTr="00761DB2">
        <w:trPr>
          <w:cnfStyle w:val="100000000000" w:firstRow="1" w:lastRow="0" w:firstColumn="0" w:lastColumn="0" w:oddVBand="0" w:evenVBand="0" w:oddHBand="0" w:evenHBand="0" w:firstRowFirstColumn="0" w:firstRowLastColumn="0" w:lastRowFirstColumn="0" w:lastRowLastColumn="0"/>
          <w:cantSplit/>
          <w:trHeight w:val="1304"/>
        </w:trPr>
        <w:tc>
          <w:tcPr>
            <w:cnfStyle w:val="001000000100" w:firstRow="0" w:lastRow="0" w:firstColumn="1" w:lastColumn="0" w:oddVBand="0" w:evenVBand="0" w:oddHBand="0" w:evenHBand="0" w:firstRowFirstColumn="1"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D9D9D9" w:themeFill="background1" w:themeFillShade="D9"/>
            <w:textDirection w:val="btLr"/>
            <w:vAlign w:val="center"/>
          </w:tcPr>
          <w:p w:rsidR="00E04C1D" w:rsidRPr="000774E7" w:rsidRDefault="00E04C1D" w:rsidP="00850E59">
            <w:pPr>
              <w:ind w:left="113" w:right="113"/>
              <w:jc w:val="center"/>
              <w:rPr>
                <w:rFonts w:ascii="Arial" w:hAnsi="Arial" w:cs="Arial"/>
                <w:color w:val="auto"/>
                <w:sz w:val="18"/>
                <w:szCs w:val="18"/>
              </w:rPr>
            </w:pPr>
            <w:r w:rsidRPr="000774E7">
              <w:rPr>
                <w:rFonts w:ascii="Arial" w:hAnsi="Arial" w:cs="Arial"/>
                <w:color w:val="auto"/>
                <w:sz w:val="18"/>
                <w:szCs w:val="18"/>
              </w:rPr>
              <w:t>Ecart / Remarque</w:t>
            </w:r>
          </w:p>
        </w:tc>
        <w:tc>
          <w:tcPr>
            <w:tcW w:w="4678" w:type="dxa"/>
            <w:tcBorders>
              <w:top w:val="none" w:sz="0" w:space="0" w:color="auto"/>
              <w:left w:val="none" w:sz="0" w:space="0" w:color="auto"/>
              <w:bottom w:val="none" w:sz="0" w:space="0" w:color="auto"/>
              <w:right w:val="none" w:sz="0" w:space="0" w:color="auto"/>
            </w:tcBorders>
            <w:shd w:val="clear" w:color="auto" w:fill="D9D9D9" w:themeFill="background1" w:themeFillShade="D9"/>
            <w:textDirection w:val="btLr"/>
            <w:vAlign w:val="center"/>
          </w:tcPr>
          <w:p w:rsidR="00E04C1D" w:rsidRPr="000774E7" w:rsidRDefault="00E04C1D" w:rsidP="00850E5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774E7">
              <w:rPr>
                <w:rFonts w:ascii="Arial" w:hAnsi="Arial" w:cs="Arial"/>
                <w:color w:val="auto"/>
                <w:sz w:val="18"/>
                <w:szCs w:val="18"/>
              </w:rPr>
              <w:t>Intitulé</w:t>
            </w:r>
          </w:p>
        </w:tc>
        <w:tc>
          <w:tcPr>
            <w:tcW w:w="4394" w:type="dxa"/>
            <w:tcBorders>
              <w:top w:val="none" w:sz="0" w:space="0" w:color="auto"/>
              <w:left w:val="none" w:sz="0" w:space="0" w:color="auto"/>
              <w:bottom w:val="none" w:sz="0" w:space="0" w:color="auto"/>
              <w:right w:val="none" w:sz="0" w:space="0" w:color="auto"/>
            </w:tcBorders>
            <w:shd w:val="clear" w:color="auto" w:fill="D9D9D9" w:themeFill="background1" w:themeFillShade="D9"/>
            <w:textDirection w:val="btLr"/>
            <w:vAlign w:val="center"/>
          </w:tcPr>
          <w:p w:rsidR="00E04C1D" w:rsidRPr="000774E7" w:rsidRDefault="00E04C1D" w:rsidP="00850E5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774E7">
              <w:rPr>
                <w:rFonts w:ascii="Arial" w:hAnsi="Arial" w:cs="Arial"/>
                <w:color w:val="auto"/>
                <w:sz w:val="18"/>
                <w:szCs w:val="18"/>
              </w:rPr>
              <w:t>Proposition de correction</w:t>
            </w:r>
          </w:p>
        </w:tc>
        <w:tc>
          <w:tcPr>
            <w:tcW w:w="1076" w:type="dxa"/>
            <w:tcBorders>
              <w:top w:val="none" w:sz="0" w:space="0" w:color="auto"/>
              <w:left w:val="none" w:sz="0" w:space="0" w:color="auto"/>
              <w:bottom w:val="none" w:sz="0" w:space="0" w:color="auto"/>
              <w:right w:val="none" w:sz="0" w:space="0" w:color="auto"/>
            </w:tcBorders>
            <w:shd w:val="clear" w:color="auto" w:fill="D9D9D9" w:themeFill="background1" w:themeFillShade="D9"/>
            <w:textDirection w:val="btLr"/>
            <w:vAlign w:val="center"/>
          </w:tcPr>
          <w:p w:rsidR="00E04C1D" w:rsidRPr="000774E7" w:rsidRDefault="00E04C1D" w:rsidP="00B32A2C">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0774E7">
              <w:rPr>
                <w:rFonts w:ascii="Arial" w:hAnsi="Arial" w:cs="Arial"/>
                <w:color w:val="auto"/>
                <w:sz w:val="18"/>
                <w:szCs w:val="18"/>
              </w:rPr>
              <w:t>Thème</w:t>
            </w:r>
          </w:p>
        </w:tc>
      </w:tr>
      <w:tr w:rsidR="00E04C1D" w:rsidTr="00920BF4">
        <w:trPr>
          <w:cnfStyle w:val="000000100000" w:firstRow="0" w:lastRow="0" w:firstColumn="0" w:lastColumn="0" w:oddVBand="0" w:evenVBand="0" w:oddHBand="1"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675" w:type="dxa"/>
            <w:shd w:val="clear" w:color="auto" w:fill="D9D9D9" w:themeFill="background1" w:themeFillShade="D9"/>
            <w:vAlign w:val="center"/>
          </w:tcPr>
          <w:p w:rsidR="00E04C1D" w:rsidRPr="000774E7" w:rsidRDefault="00E04C1D" w:rsidP="004C6E7E">
            <w:pPr>
              <w:jc w:val="center"/>
              <w:rPr>
                <w:rFonts w:ascii="Arial" w:hAnsi="Arial" w:cs="Arial"/>
              </w:rPr>
            </w:pPr>
            <w:r w:rsidRPr="0030448A">
              <w:rPr>
                <w:rFonts w:ascii="Arial" w:hAnsi="Arial" w:cs="Arial"/>
                <w:color w:val="auto"/>
              </w:rPr>
              <w:t>E</w:t>
            </w:r>
          </w:p>
        </w:tc>
        <w:tc>
          <w:tcPr>
            <w:tcW w:w="4678" w:type="dxa"/>
            <w:shd w:val="clear" w:color="auto" w:fill="auto"/>
            <w:vAlign w:val="center"/>
          </w:tcPr>
          <w:p w:rsidR="00E04C1D" w:rsidRPr="005406DF" w:rsidRDefault="00E04C1D" w:rsidP="0030448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La procédure de contrôle des prescriptions ne prévoit pas la conduite à tenir en cas de non-conformité en opposition à </w:t>
            </w:r>
            <w:r w:rsidRPr="00CE7F8F">
              <w:rPr>
                <w:rFonts w:ascii="Arial" w:hAnsi="Arial" w:cs="Arial"/>
                <w:bCs/>
                <w:sz w:val="18"/>
                <w:szCs w:val="18"/>
              </w:rPr>
              <w:t xml:space="preserve">la </w:t>
            </w:r>
            <w:r w:rsidR="00F24C87">
              <w:rPr>
                <w:rFonts w:ascii="Arial" w:hAnsi="Arial" w:cs="Arial"/>
                <w:sz w:val="18"/>
                <w:szCs w:val="18"/>
              </w:rPr>
              <w:t>décision</w:t>
            </w:r>
            <w:r w:rsidRPr="00CE7F8F">
              <w:rPr>
                <w:rFonts w:ascii="Arial" w:hAnsi="Arial" w:cs="Arial"/>
                <w:sz w:val="18"/>
                <w:szCs w:val="18"/>
              </w:rPr>
              <w:t xml:space="preserve"> du 10 Juillet 2018 définissant les principes de bonnes pratiques prévus à l’article L.1222.12 du code de santé publique</w:t>
            </w:r>
          </w:p>
        </w:tc>
        <w:tc>
          <w:tcPr>
            <w:tcW w:w="4394" w:type="dxa"/>
            <w:shd w:val="clear" w:color="auto" w:fill="auto"/>
            <w:vAlign w:val="center"/>
          </w:tcPr>
          <w:p w:rsidR="00E04C1D" w:rsidRPr="005406DF" w:rsidRDefault="00E04C1D" w:rsidP="005406D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Revoir le document en précisant ce qu’il faut faire</w:t>
            </w:r>
            <w:r w:rsidR="008F4C4F">
              <w:rPr>
                <w:rFonts w:ascii="Arial" w:hAnsi="Arial" w:cs="Arial"/>
                <w:sz w:val="18"/>
                <w:szCs w:val="18"/>
              </w:rPr>
              <w:t>, comment on enregistre ces actions</w:t>
            </w:r>
            <w:r>
              <w:rPr>
                <w:rFonts w:ascii="Arial" w:hAnsi="Arial" w:cs="Arial"/>
                <w:sz w:val="18"/>
                <w:szCs w:val="18"/>
              </w:rPr>
              <w:t xml:space="preserve"> et en prenant toujours en compte l’urgence.</w:t>
            </w:r>
          </w:p>
        </w:tc>
        <w:tc>
          <w:tcPr>
            <w:tcW w:w="1076" w:type="dxa"/>
            <w:shd w:val="clear" w:color="auto" w:fill="auto"/>
            <w:textDirection w:val="btLr"/>
            <w:vAlign w:val="center"/>
          </w:tcPr>
          <w:p w:rsidR="00E04C1D" w:rsidRDefault="00E04C1D"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Délivrance</w:t>
            </w:r>
          </w:p>
        </w:tc>
      </w:tr>
      <w:tr w:rsidR="00E04C1D" w:rsidTr="00E04C1D">
        <w:trPr>
          <w:cantSplit/>
          <w:trHeight w:val="147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R</w:t>
            </w:r>
          </w:p>
        </w:tc>
        <w:tc>
          <w:tcPr>
            <w:tcW w:w="4678" w:type="dxa"/>
            <w:shd w:val="clear" w:color="auto" w:fill="auto"/>
            <w:vAlign w:val="center"/>
          </w:tcPr>
          <w:p w:rsidR="00E04C1D" w:rsidRPr="000C1D1D" w:rsidRDefault="00E04C1D" w:rsidP="000C1D1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0C1D1D">
              <w:rPr>
                <w:rFonts w:ascii="Arial" w:hAnsi="Arial" w:cs="Arial"/>
                <w:sz w:val="18"/>
                <w:szCs w:val="18"/>
              </w:rPr>
              <w:t>Le dépôt ne suit pas les recommandations de la HAS « Recommandation de bonne pratique HAS 2014: Transfusion de globules rouges homologues » dans sa procédure de distribution en urgence vitale</w:t>
            </w:r>
          </w:p>
        </w:tc>
        <w:tc>
          <w:tcPr>
            <w:tcW w:w="4394" w:type="dxa"/>
            <w:shd w:val="clear" w:color="auto" w:fill="auto"/>
            <w:vAlign w:val="center"/>
          </w:tcPr>
          <w:p w:rsidR="00E04C1D" w:rsidRPr="000C1D1D" w:rsidRDefault="00E04C1D" w:rsidP="000C1D1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1D1D">
              <w:rPr>
                <w:rFonts w:ascii="Arial" w:hAnsi="Arial" w:cs="Arial"/>
                <w:sz w:val="18"/>
                <w:szCs w:val="18"/>
              </w:rPr>
              <w:t>Mettre à jour</w:t>
            </w:r>
          </w:p>
        </w:tc>
        <w:tc>
          <w:tcPr>
            <w:tcW w:w="1076" w:type="dxa"/>
            <w:shd w:val="clear" w:color="auto" w:fill="auto"/>
            <w:textDirection w:val="btLr"/>
            <w:vAlign w:val="center"/>
          </w:tcPr>
          <w:p w:rsidR="00E04C1D" w:rsidRPr="000C1D1D" w:rsidRDefault="00E04C1D"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Documentation</w:t>
            </w:r>
          </w:p>
        </w:tc>
      </w:tr>
      <w:tr w:rsidR="00E04C1D" w:rsidTr="00E04C1D">
        <w:trPr>
          <w:cnfStyle w:val="000000100000" w:firstRow="0" w:lastRow="0" w:firstColumn="0" w:lastColumn="0" w:oddVBand="0" w:evenVBand="0" w:oddHBand="1"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R</w:t>
            </w:r>
          </w:p>
        </w:tc>
        <w:tc>
          <w:tcPr>
            <w:tcW w:w="4678" w:type="dxa"/>
            <w:shd w:val="clear" w:color="auto" w:fill="auto"/>
            <w:vAlign w:val="center"/>
          </w:tcPr>
          <w:p w:rsidR="00E04C1D" w:rsidRPr="000C1D1D" w:rsidRDefault="00E04C1D" w:rsidP="000C1D1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C1D1D">
              <w:rPr>
                <w:rFonts w:ascii="Arial" w:hAnsi="Arial" w:cs="Arial"/>
                <w:sz w:val="18"/>
                <w:szCs w:val="18"/>
              </w:rPr>
              <w:t>Le dépôt ne dispose pas de la procédure de transfert par une équipe urgentiste d’un patient avec ses PSL lui permettant d’assurer la traçabilité des produits lors de ces circonstances.</w:t>
            </w:r>
          </w:p>
        </w:tc>
        <w:tc>
          <w:tcPr>
            <w:tcW w:w="4394" w:type="dxa"/>
            <w:shd w:val="clear" w:color="auto" w:fill="auto"/>
            <w:vAlign w:val="center"/>
          </w:tcPr>
          <w:p w:rsidR="008F4C4F" w:rsidRPr="000C1D1D" w:rsidRDefault="00E04C1D" w:rsidP="000C1D1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C1D1D">
              <w:rPr>
                <w:rFonts w:ascii="Arial" w:hAnsi="Arial" w:cs="Arial"/>
                <w:sz w:val="18"/>
                <w:szCs w:val="18"/>
              </w:rPr>
              <w:t>A rédiger même si cela n’est que rarement utile pour l’établissement</w:t>
            </w:r>
            <w:r w:rsidR="008F4C4F">
              <w:rPr>
                <w:rFonts w:ascii="Arial" w:hAnsi="Arial" w:cs="Arial"/>
                <w:sz w:val="18"/>
                <w:szCs w:val="18"/>
              </w:rPr>
              <w:t>. Le point le plus important est de prévoir comment sera réalisée la traçabilité.</w:t>
            </w:r>
          </w:p>
        </w:tc>
        <w:tc>
          <w:tcPr>
            <w:tcW w:w="1076" w:type="dxa"/>
            <w:shd w:val="clear" w:color="auto" w:fill="auto"/>
            <w:textDirection w:val="btLr"/>
            <w:vAlign w:val="center"/>
          </w:tcPr>
          <w:p w:rsidR="00E04C1D" w:rsidRPr="000C1D1D" w:rsidRDefault="00E04C1D"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Documentation</w:t>
            </w:r>
          </w:p>
        </w:tc>
      </w:tr>
      <w:tr w:rsidR="00E04C1D" w:rsidTr="00920BF4">
        <w:trPr>
          <w:cantSplit/>
          <w:trHeight w:val="1701"/>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Pr="005D6C69" w:rsidRDefault="00E04C1D" w:rsidP="005D6C69">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5D6C69">
              <w:rPr>
                <w:rFonts w:ascii="Arial" w:hAnsi="Arial" w:cs="Arial"/>
                <w:sz w:val="18"/>
                <w:szCs w:val="18"/>
              </w:rPr>
              <w:t>Une convention spécifique doit être rédigée en conformité avec l’a</w:t>
            </w:r>
            <w:r w:rsidRPr="005D6C69">
              <w:rPr>
                <w:rFonts w:ascii="Arial" w:hAnsi="Arial" w:cs="Arial"/>
                <w:bCs/>
                <w:sz w:val="18"/>
                <w:szCs w:val="18"/>
              </w:rPr>
              <w:t>rrêté du 10 octobre 2007 fixant les conditions relatives à l'entreposage des produits sanguins labiles dans les services des établissements de santé.</w:t>
            </w:r>
          </w:p>
        </w:tc>
        <w:tc>
          <w:tcPr>
            <w:tcW w:w="4394" w:type="dxa"/>
            <w:shd w:val="clear" w:color="auto" w:fill="auto"/>
            <w:vAlign w:val="center"/>
          </w:tcPr>
          <w:p w:rsidR="00E04C1D" w:rsidRPr="005D6C69" w:rsidRDefault="00E04C1D" w:rsidP="005D6C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6C69">
              <w:rPr>
                <w:rFonts w:ascii="Arial" w:hAnsi="Arial" w:cs="Arial"/>
                <w:sz w:val="18"/>
                <w:szCs w:val="18"/>
              </w:rPr>
              <w:t>L’entreposage doit être géré de manière totalement distincte du dépôt</w:t>
            </w:r>
          </w:p>
          <w:p w:rsidR="00E04C1D" w:rsidRPr="005D6C69" w:rsidRDefault="00E04C1D" w:rsidP="005D6C69">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Convention avec EFS</w:t>
            </w:r>
            <w:r w:rsidRPr="005D6C69">
              <w:rPr>
                <w:rFonts w:ascii="Arial" w:hAnsi="Arial" w:cs="Arial"/>
                <w:sz w:val="18"/>
                <w:szCs w:val="18"/>
              </w:rPr>
              <w:t xml:space="preserve"> séparée</w:t>
            </w:r>
            <w:r>
              <w:rPr>
                <w:rFonts w:ascii="Arial" w:hAnsi="Arial" w:cs="Arial"/>
                <w:sz w:val="18"/>
                <w:szCs w:val="18"/>
              </w:rPr>
              <w:t xml:space="preserve"> et pas juste un petit chapitre dans la convention de dépôt</w:t>
            </w:r>
          </w:p>
          <w:p w:rsidR="00E04C1D" w:rsidRPr="005D6C69" w:rsidRDefault="00E04C1D" w:rsidP="005D6C69">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6C69">
              <w:rPr>
                <w:rFonts w:ascii="Arial" w:hAnsi="Arial" w:cs="Arial"/>
                <w:sz w:val="18"/>
                <w:szCs w:val="18"/>
              </w:rPr>
              <w:t>Locaux séparés</w:t>
            </w:r>
          </w:p>
          <w:p w:rsidR="00E04C1D" w:rsidRPr="005D6C69" w:rsidRDefault="00E04C1D" w:rsidP="005D6C69">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6C69">
              <w:rPr>
                <w:rFonts w:ascii="Arial" w:hAnsi="Arial" w:cs="Arial"/>
                <w:sz w:val="18"/>
                <w:szCs w:val="18"/>
              </w:rPr>
              <w:t>Procédures séparées</w:t>
            </w:r>
          </w:p>
        </w:tc>
        <w:tc>
          <w:tcPr>
            <w:tcW w:w="1076" w:type="dxa"/>
            <w:shd w:val="clear" w:color="auto" w:fill="auto"/>
            <w:textDirection w:val="btLr"/>
            <w:vAlign w:val="center"/>
          </w:tcPr>
          <w:p w:rsidR="00E04C1D" w:rsidRPr="005D6C69" w:rsidRDefault="00E04C1D"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Entreposage</w:t>
            </w:r>
          </w:p>
        </w:tc>
      </w:tr>
      <w:tr w:rsidR="00E04C1D" w:rsidTr="00E04C1D">
        <w:trPr>
          <w:cnfStyle w:val="000000100000" w:firstRow="0" w:lastRow="0" w:firstColumn="0" w:lastColumn="0" w:oddVBand="0" w:evenVBand="0" w:oddHBand="1" w:evenHBand="0" w:firstRowFirstColumn="0" w:firstRowLastColumn="0" w:lastRowFirstColumn="0" w:lastRowLastColumn="0"/>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R</w:t>
            </w:r>
          </w:p>
        </w:tc>
        <w:tc>
          <w:tcPr>
            <w:tcW w:w="4678" w:type="dxa"/>
            <w:shd w:val="clear" w:color="auto" w:fill="auto"/>
            <w:vAlign w:val="center"/>
          </w:tcPr>
          <w:p w:rsidR="00E04C1D" w:rsidRPr="00CA28A4" w:rsidRDefault="00E04C1D" w:rsidP="00CA28A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A28A4">
              <w:rPr>
                <w:rFonts w:ascii="Arial" w:hAnsi="Arial" w:cs="Arial"/>
                <w:sz w:val="18"/>
                <w:szCs w:val="18"/>
              </w:rPr>
              <w:t>Le nombre de PSL détruit est élevé et dépasse la référence régionale (1% des PSL consommés par l’établissement de soins).</w:t>
            </w:r>
          </w:p>
        </w:tc>
        <w:tc>
          <w:tcPr>
            <w:tcW w:w="4394" w:type="dxa"/>
            <w:shd w:val="clear" w:color="auto" w:fill="auto"/>
            <w:vAlign w:val="center"/>
          </w:tcPr>
          <w:p w:rsidR="00E04C1D" w:rsidRPr="00CA28A4" w:rsidRDefault="00E04C1D" w:rsidP="00CA28A4">
            <w:pPr>
              <w:pStyle w:val="Paragraphedeliste"/>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A28A4">
              <w:rPr>
                <w:rFonts w:ascii="Arial" w:hAnsi="Arial" w:cs="Arial"/>
                <w:sz w:val="18"/>
                <w:szCs w:val="18"/>
              </w:rPr>
              <w:t>Mettre en place une analyse des destructions</w:t>
            </w:r>
          </w:p>
          <w:p w:rsidR="00E04C1D" w:rsidRPr="00CA28A4" w:rsidRDefault="00E04C1D" w:rsidP="00CA28A4">
            <w:pPr>
              <w:pStyle w:val="Paragraphedeliste"/>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A28A4">
              <w:rPr>
                <w:rFonts w:ascii="Arial" w:hAnsi="Arial" w:cs="Arial"/>
                <w:sz w:val="18"/>
                <w:szCs w:val="18"/>
              </w:rPr>
              <w:t>Mettre en place et suivre un indicateur de qualité sur ce thème</w:t>
            </w:r>
          </w:p>
          <w:p w:rsidR="00E04C1D" w:rsidRPr="00CA28A4" w:rsidRDefault="00E04C1D" w:rsidP="00CA28A4">
            <w:pPr>
              <w:pStyle w:val="Paragraphedeliste"/>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A28A4">
              <w:rPr>
                <w:rFonts w:ascii="Arial" w:hAnsi="Arial" w:cs="Arial"/>
                <w:sz w:val="18"/>
                <w:szCs w:val="18"/>
              </w:rPr>
              <w:t>Analyse et proposition d’actions correctives</w:t>
            </w:r>
          </w:p>
        </w:tc>
        <w:tc>
          <w:tcPr>
            <w:tcW w:w="1076" w:type="dxa"/>
            <w:shd w:val="clear" w:color="auto" w:fill="auto"/>
            <w:textDirection w:val="btLr"/>
            <w:vAlign w:val="center"/>
          </w:tcPr>
          <w:p w:rsidR="00E04C1D" w:rsidRPr="00AF6173" w:rsidRDefault="00E04C1D" w:rsidP="00AF6173">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Hémovigilance</w:t>
            </w:r>
          </w:p>
        </w:tc>
      </w:tr>
      <w:tr w:rsidR="00E04C1D" w:rsidTr="00920BF4">
        <w:trPr>
          <w:cantSplit/>
          <w:trHeight w:val="113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Default="00E04C1D" w:rsidP="0034218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7F57">
              <w:rPr>
                <w:rFonts w:ascii="Arial" w:hAnsi="Arial" w:cs="Arial"/>
                <w:bCs/>
                <w:sz w:val="18"/>
                <w:szCs w:val="18"/>
              </w:rPr>
              <w:t xml:space="preserve">Les phases d’entretien du matériel ne sont pas systématiquement enregistrées et validées en opposition à la </w:t>
            </w:r>
            <w:r w:rsidR="00F24C87">
              <w:rPr>
                <w:rFonts w:ascii="Arial" w:hAnsi="Arial" w:cs="Arial"/>
                <w:sz w:val="18"/>
                <w:szCs w:val="18"/>
              </w:rPr>
              <w:t>décision</w:t>
            </w:r>
            <w:r w:rsidRPr="009C7F57">
              <w:rPr>
                <w:rFonts w:ascii="Arial" w:hAnsi="Arial" w:cs="Arial"/>
                <w:sz w:val="18"/>
                <w:szCs w:val="18"/>
              </w:rPr>
              <w:t xml:space="preserve"> du 10 Juillet 2018 définissant les principes de bonnes pratiques prévus à l’article L.1222.12 du code de santé publique.</w:t>
            </w:r>
          </w:p>
          <w:p w:rsidR="00E04C1D" w:rsidRDefault="00E04C1D" w:rsidP="00342189">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5D0089">
              <w:rPr>
                <w:rFonts w:ascii="Arial" w:hAnsi="Arial" w:cs="Arial"/>
                <w:bCs/>
                <w:i/>
                <w:sz w:val="18"/>
                <w:szCs w:val="18"/>
              </w:rPr>
              <w:t>Ligne directrice relative au stockage, au transport et à la conservation des prélèvements, des tubes échantillons et des produits sanguins labiles (</w:t>
            </w:r>
            <w:r>
              <w:rPr>
                <w:rFonts w:ascii="Arial" w:hAnsi="Arial" w:cs="Arial"/>
                <w:i/>
                <w:sz w:val="18"/>
                <w:szCs w:val="18"/>
              </w:rPr>
              <w:t>I.</w:t>
            </w:r>
            <w:r w:rsidRPr="005D0089">
              <w:rPr>
                <w:rFonts w:ascii="Arial" w:hAnsi="Arial" w:cs="Arial"/>
                <w:i/>
                <w:sz w:val="18"/>
                <w:szCs w:val="18"/>
              </w:rPr>
              <w:t>).</w:t>
            </w:r>
          </w:p>
          <w:p w:rsidR="00E04C1D" w:rsidRPr="009C7F57" w:rsidRDefault="00E04C1D" w:rsidP="00342189">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A9154D">
              <w:rPr>
                <w:rFonts w:ascii="Arial" w:hAnsi="Arial" w:cs="Arial"/>
                <w:bCs/>
                <w:i/>
                <w:sz w:val="18"/>
                <w:szCs w:val="18"/>
              </w:rPr>
              <w:t xml:space="preserve">Principes de bonnes pratiques transfusionnelles pour les établissements de transfusion sanguine et les dépôts de sang </w:t>
            </w:r>
            <w:r>
              <w:rPr>
                <w:rFonts w:ascii="Arial" w:hAnsi="Arial" w:cs="Arial"/>
                <w:i/>
                <w:sz w:val="18"/>
                <w:szCs w:val="18"/>
              </w:rPr>
              <w:t>(1.3.1.1.7.)</w:t>
            </w:r>
          </w:p>
        </w:tc>
        <w:tc>
          <w:tcPr>
            <w:tcW w:w="4394" w:type="dxa"/>
            <w:shd w:val="clear" w:color="auto" w:fill="auto"/>
            <w:vAlign w:val="center"/>
          </w:tcPr>
          <w:p w:rsidR="00E04C1D" w:rsidRPr="00A9154D" w:rsidRDefault="00E04C1D" w:rsidP="004C5143">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154D">
              <w:rPr>
                <w:rFonts w:ascii="Arial" w:hAnsi="Arial" w:cs="Arial"/>
                <w:sz w:val="18"/>
                <w:szCs w:val="18"/>
              </w:rPr>
              <w:t>Prévoir un recueil des données papier ou informatique</w:t>
            </w:r>
          </w:p>
          <w:p w:rsidR="00E04C1D" w:rsidRPr="00A9154D" w:rsidRDefault="00E04C1D" w:rsidP="004C5143">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154D">
              <w:rPr>
                <w:rFonts w:ascii="Arial" w:hAnsi="Arial" w:cs="Arial"/>
                <w:sz w:val="18"/>
                <w:szCs w:val="18"/>
              </w:rPr>
              <w:t>Faire remplir ce support régulièrement avec le visa ou la signature de la personne (ne pas se limiter à une croix…)</w:t>
            </w:r>
          </w:p>
          <w:p w:rsidR="00E04C1D" w:rsidRPr="00A9154D" w:rsidRDefault="00E04C1D" w:rsidP="004C5143">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154D">
              <w:rPr>
                <w:rFonts w:ascii="Arial" w:hAnsi="Arial" w:cs="Arial"/>
                <w:sz w:val="18"/>
                <w:szCs w:val="18"/>
              </w:rPr>
              <w:t>Vérifier régulièrement la qualité du remplissage du recueil des données</w:t>
            </w:r>
          </w:p>
        </w:tc>
        <w:tc>
          <w:tcPr>
            <w:tcW w:w="1076" w:type="dxa"/>
            <w:shd w:val="clear" w:color="auto" w:fill="auto"/>
            <w:textDirection w:val="btLr"/>
            <w:vAlign w:val="center"/>
          </w:tcPr>
          <w:p w:rsidR="00E04C1D" w:rsidRPr="00A9154D" w:rsidRDefault="00E04C1D" w:rsidP="00B32A2C">
            <w:pPr>
              <w:pStyle w:val="Paragraphedeliste"/>
              <w:ind w:left="47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Hygiène</w:t>
            </w:r>
          </w:p>
        </w:tc>
      </w:tr>
      <w:tr w:rsidR="00E04C1D" w:rsidRPr="00A9154D" w:rsidTr="00920BF4">
        <w:trPr>
          <w:cnfStyle w:val="000000100000" w:firstRow="0" w:lastRow="0" w:firstColumn="0" w:lastColumn="0" w:oddVBand="0" w:evenVBand="0" w:oddHBand="1" w:evenHBand="0" w:firstRowFirstColumn="0" w:firstRowLastColumn="0" w:lastRowFirstColumn="0" w:lastRowLastColumn="0"/>
          <w:cantSplit/>
          <w:trHeight w:val="215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Pr="00A9154D" w:rsidRDefault="00E04C1D" w:rsidP="00A9154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154D">
              <w:rPr>
                <w:rFonts w:ascii="Arial" w:hAnsi="Arial" w:cs="Arial"/>
                <w:bCs/>
                <w:sz w:val="18"/>
                <w:szCs w:val="18"/>
              </w:rPr>
              <w:t xml:space="preserve">Les phases d’entretien du local ne sont pas systématiquement enregistrées et validées en opposition à la </w:t>
            </w:r>
            <w:r w:rsidR="00F24C87">
              <w:rPr>
                <w:rFonts w:ascii="Arial" w:hAnsi="Arial" w:cs="Arial"/>
                <w:sz w:val="18"/>
                <w:szCs w:val="18"/>
              </w:rPr>
              <w:t>Décision</w:t>
            </w:r>
            <w:r w:rsidRPr="00A9154D">
              <w:rPr>
                <w:rFonts w:ascii="Arial" w:hAnsi="Arial" w:cs="Arial"/>
                <w:sz w:val="18"/>
                <w:szCs w:val="18"/>
              </w:rPr>
              <w:t xml:space="preserve"> du 10 Juillet 2018 définissant les principes de bonnes pratiques prévus à l’article L.1222.12 du code de santé publique.</w:t>
            </w:r>
          </w:p>
          <w:p w:rsidR="00E04C1D" w:rsidRPr="00A9154D" w:rsidRDefault="00E04C1D" w:rsidP="00A915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sidRPr="00A9154D">
              <w:rPr>
                <w:rFonts w:ascii="Arial" w:hAnsi="Arial" w:cs="Arial"/>
                <w:bCs/>
                <w:i/>
                <w:sz w:val="18"/>
                <w:szCs w:val="18"/>
              </w:rPr>
              <w:t>Principes de bonnes pratiques transfusionnelles pour les établissements de transfusion sanguine et les dépôts de sang (</w:t>
            </w:r>
            <w:r w:rsidRPr="00A9154D">
              <w:rPr>
                <w:rFonts w:ascii="Arial" w:hAnsi="Arial" w:cs="Arial"/>
                <w:i/>
                <w:sz w:val="18"/>
                <w:szCs w:val="18"/>
              </w:rPr>
              <w:t>3.1.1).</w:t>
            </w:r>
          </w:p>
        </w:tc>
        <w:tc>
          <w:tcPr>
            <w:tcW w:w="4394" w:type="dxa"/>
            <w:shd w:val="clear" w:color="auto" w:fill="auto"/>
            <w:vAlign w:val="center"/>
          </w:tcPr>
          <w:p w:rsidR="00E04C1D" w:rsidRDefault="00E04C1D" w:rsidP="00A9154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Lorsque le dépôt sous-</w:t>
            </w:r>
            <w:r w:rsidRPr="00A9154D">
              <w:rPr>
                <w:rFonts w:ascii="Arial" w:hAnsi="Arial" w:cs="Arial"/>
                <w:sz w:val="18"/>
                <w:szCs w:val="18"/>
              </w:rPr>
              <w:t>traite l’entretien du local :</w:t>
            </w:r>
          </w:p>
          <w:p w:rsidR="00E04C1D" w:rsidRPr="000332B7" w:rsidRDefault="00E04C1D" w:rsidP="000332B7">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32B7">
              <w:rPr>
                <w:rFonts w:ascii="Arial" w:hAnsi="Arial" w:cs="Arial"/>
                <w:sz w:val="18"/>
                <w:szCs w:val="18"/>
              </w:rPr>
              <w:t>Etablir un cahier des charges, modalités, fréquence et précautions</w:t>
            </w:r>
          </w:p>
          <w:p w:rsidR="00E04C1D" w:rsidRPr="000332B7" w:rsidRDefault="00E04C1D" w:rsidP="000332B7">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32B7">
              <w:rPr>
                <w:rFonts w:ascii="Arial" w:hAnsi="Arial" w:cs="Arial"/>
                <w:sz w:val="18"/>
                <w:szCs w:val="18"/>
              </w:rPr>
              <w:t>Demander un relevé des opérations avec identification de la personne</w:t>
            </w:r>
          </w:p>
          <w:p w:rsidR="00E04C1D" w:rsidRPr="000332B7" w:rsidRDefault="00E04C1D" w:rsidP="000332B7">
            <w:pPr>
              <w:pStyle w:val="Paragraphedeliste"/>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32B7">
              <w:rPr>
                <w:rFonts w:ascii="Arial" w:hAnsi="Arial" w:cs="Arial"/>
                <w:sz w:val="18"/>
                <w:szCs w:val="18"/>
              </w:rPr>
              <w:t>Vérifié les réalisations de manière périodique</w:t>
            </w:r>
          </w:p>
        </w:tc>
        <w:tc>
          <w:tcPr>
            <w:tcW w:w="1076" w:type="dxa"/>
            <w:shd w:val="clear" w:color="auto" w:fill="auto"/>
            <w:textDirection w:val="btLr"/>
            <w:vAlign w:val="center"/>
          </w:tcPr>
          <w:p w:rsidR="00E04C1D" w:rsidRDefault="00E04C1D"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Hygiène</w:t>
            </w:r>
          </w:p>
        </w:tc>
      </w:tr>
      <w:tr w:rsidR="00E04C1D" w:rsidTr="00920BF4">
        <w:trPr>
          <w:cantSplit/>
          <w:trHeight w:val="113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lastRenderedPageBreak/>
              <w:t>E</w:t>
            </w:r>
          </w:p>
        </w:tc>
        <w:tc>
          <w:tcPr>
            <w:tcW w:w="4678" w:type="dxa"/>
            <w:vAlign w:val="center"/>
          </w:tcPr>
          <w:p w:rsidR="00E04C1D" w:rsidRDefault="00E04C1D" w:rsidP="007819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19DE">
              <w:rPr>
                <w:rFonts w:ascii="Arial" w:hAnsi="Arial" w:cs="Arial"/>
                <w:bCs/>
                <w:sz w:val="18"/>
                <w:szCs w:val="18"/>
              </w:rPr>
              <w:t>Il n’existe pas de document au niveau du dépôt expliquant les modalités de destruction des PSL selon leur état (clos ou ouvert) et permettant d’assurer une bonne traçabilité des produits détruits s</w:t>
            </w:r>
            <w:r w:rsidRPr="007819DE">
              <w:rPr>
                <w:rFonts w:ascii="Arial" w:hAnsi="Arial" w:cs="Arial"/>
                <w:sz w:val="18"/>
                <w:szCs w:val="18"/>
              </w:rPr>
              <w:t xml:space="preserve">elon </w:t>
            </w:r>
            <w:r w:rsidRPr="007819DE">
              <w:rPr>
                <w:rFonts w:ascii="Arial" w:hAnsi="Arial" w:cs="Arial"/>
                <w:bCs/>
                <w:sz w:val="18"/>
                <w:szCs w:val="18"/>
              </w:rPr>
              <w:t xml:space="preserve">la </w:t>
            </w:r>
            <w:r w:rsidR="00F24C87">
              <w:rPr>
                <w:rFonts w:ascii="Arial" w:hAnsi="Arial" w:cs="Arial"/>
                <w:bCs/>
                <w:sz w:val="18"/>
                <w:szCs w:val="18"/>
              </w:rPr>
              <w:t>décision</w:t>
            </w:r>
            <w:r w:rsidRPr="007819DE">
              <w:rPr>
                <w:rFonts w:ascii="Arial" w:hAnsi="Arial" w:cs="Arial"/>
                <w:sz w:val="18"/>
                <w:szCs w:val="18"/>
              </w:rPr>
              <w:t xml:space="preserve"> du 10 Juillet 2018 définissant les principes de bonnes pratiques prévus à l’article L.1222.12 du code de santé publique.</w:t>
            </w:r>
          </w:p>
          <w:p w:rsidR="00E04C1D" w:rsidRPr="007819DE" w:rsidRDefault="00E04C1D" w:rsidP="007819D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819DE">
              <w:rPr>
                <w:rFonts w:ascii="Arial" w:hAnsi="Arial" w:cs="Arial"/>
                <w:bCs/>
                <w:i/>
                <w:sz w:val="18"/>
                <w:szCs w:val="18"/>
              </w:rPr>
              <w:t>Ligne directrice relative aux activités de délivrance et de distribution (IV.2)</w:t>
            </w:r>
          </w:p>
        </w:tc>
        <w:tc>
          <w:tcPr>
            <w:tcW w:w="4394" w:type="dxa"/>
            <w:vAlign w:val="center"/>
          </w:tcPr>
          <w:p w:rsidR="00E04C1D" w:rsidRPr="00A9154D" w:rsidRDefault="00E04C1D" w:rsidP="000B363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154D">
              <w:rPr>
                <w:rFonts w:ascii="Arial" w:hAnsi="Arial" w:cs="Arial"/>
                <w:sz w:val="18"/>
                <w:szCs w:val="18"/>
              </w:rPr>
              <w:t>A rédiger dans une procédure spécifique ou dans la procédure de retour des produits par exemple.</w:t>
            </w:r>
          </w:p>
          <w:p w:rsidR="00E04C1D" w:rsidRPr="00A9154D" w:rsidRDefault="00E04C1D" w:rsidP="000B363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154D">
              <w:rPr>
                <w:rFonts w:ascii="Arial" w:hAnsi="Arial" w:cs="Arial"/>
                <w:sz w:val="18"/>
                <w:szCs w:val="18"/>
              </w:rPr>
              <w:t>Bien faire la différence entre produits ouverts jetés localement et produit non ouvert retourné à EFS, entre produit a détruire et produits conformes</w:t>
            </w:r>
          </w:p>
          <w:p w:rsidR="00E04C1D" w:rsidRPr="00A9154D" w:rsidRDefault="00E04C1D" w:rsidP="000B363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9154D">
              <w:rPr>
                <w:rFonts w:ascii="Arial" w:hAnsi="Arial" w:cs="Arial"/>
                <w:sz w:val="18"/>
                <w:szCs w:val="18"/>
              </w:rPr>
              <w:t>Décrire les modalités à suivre pour assurer la traçabilité selon le cas.</w:t>
            </w:r>
          </w:p>
        </w:tc>
        <w:tc>
          <w:tcPr>
            <w:tcW w:w="1076" w:type="dxa"/>
            <w:textDirection w:val="btLr"/>
            <w:vAlign w:val="center"/>
          </w:tcPr>
          <w:p w:rsidR="00E04C1D" w:rsidRPr="00A9154D" w:rsidRDefault="00E04C1D" w:rsidP="00B32A2C">
            <w:pPr>
              <w:pStyle w:val="Paragraphedeliste"/>
              <w:ind w:left="47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Hygiène</w:t>
            </w:r>
          </w:p>
        </w:tc>
      </w:tr>
      <w:tr w:rsidR="00E04C1D" w:rsidTr="00920BF4">
        <w:trPr>
          <w:cnfStyle w:val="000000100000" w:firstRow="0" w:lastRow="0" w:firstColumn="0" w:lastColumn="0" w:oddVBand="0" w:evenVBand="0" w:oddHBand="1" w:evenHBand="0" w:firstRowFirstColumn="0" w:firstRowLastColumn="0" w:lastRowFirstColumn="0" w:lastRowLastColumn="0"/>
          <w:cantSplit/>
          <w:trHeight w:val="198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DD5F1E">
            <w:pPr>
              <w:jc w:val="center"/>
              <w:rPr>
                <w:rFonts w:ascii="Arial" w:hAnsi="Arial" w:cs="Arial"/>
                <w:color w:val="auto"/>
              </w:rPr>
            </w:pPr>
            <w:r w:rsidRPr="000774E7">
              <w:rPr>
                <w:rFonts w:ascii="Arial" w:hAnsi="Arial" w:cs="Arial"/>
                <w:color w:val="auto"/>
              </w:rPr>
              <w:t>R</w:t>
            </w:r>
          </w:p>
        </w:tc>
        <w:tc>
          <w:tcPr>
            <w:tcW w:w="4678" w:type="dxa"/>
            <w:shd w:val="clear" w:color="auto" w:fill="auto"/>
            <w:vAlign w:val="center"/>
          </w:tcPr>
          <w:p w:rsidR="00E04C1D" w:rsidRPr="00383D01" w:rsidRDefault="00E04C1D" w:rsidP="009357C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83D01">
              <w:rPr>
                <w:rFonts w:ascii="Arial" w:hAnsi="Arial" w:cs="Arial"/>
                <w:bCs/>
                <w:sz w:val="18"/>
                <w:szCs w:val="18"/>
              </w:rPr>
              <w:t>Il n’existe pas dans la documentation du dépôt de document précisant la conduite à tenir en cas d’</w:t>
            </w:r>
            <w:r>
              <w:rPr>
                <w:rFonts w:ascii="Arial" w:hAnsi="Arial" w:cs="Arial"/>
                <w:bCs/>
                <w:sz w:val="18"/>
                <w:szCs w:val="18"/>
              </w:rPr>
              <w:t>accident avec une poche de sang.</w:t>
            </w:r>
          </w:p>
        </w:tc>
        <w:tc>
          <w:tcPr>
            <w:tcW w:w="4394" w:type="dxa"/>
            <w:shd w:val="clear" w:color="auto" w:fill="auto"/>
            <w:vAlign w:val="center"/>
          </w:tcPr>
          <w:p w:rsidR="00E04C1D" w:rsidRPr="009357C6" w:rsidRDefault="00E04C1D" w:rsidP="009357C6">
            <w:pPr>
              <w:pStyle w:val="Paragraphedelis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357C6">
              <w:rPr>
                <w:rFonts w:ascii="Arial" w:hAnsi="Arial" w:cs="Arial"/>
                <w:sz w:val="18"/>
                <w:szCs w:val="18"/>
              </w:rPr>
              <w:t xml:space="preserve">A rédiger dans un document spécifique ou l’inclure dans une procédure d’hygiène. </w:t>
            </w:r>
          </w:p>
          <w:p w:rsidR="00E04C1D" w:rsidRPr="009357C6" w:rsidRDefault="00E04C1D" w:rsidP="009357C6">
            <w:pPr>
              <w:pStyle w:val="Paragraphedelis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357C6">
              <w:rPr>
                <w:rFonts w:ascii="Arial" w:hAnsi="Arial" w:cs="Arial"/>
                <w:sz w:val="18"/>
                <w:szCs w:val="18"/>
              </w:rPr>
              <w:t xml:space="preserve">Prendre en compte la possibilité qu’un gros volume de sang soit concerné. </w:t>
            </w:r>
          </w:p>
          <w:p w:rsidR="00E04C1D" w:rsidRPr="009357C6" w:rsidRDefault="00E04C1D" w:rsidP="009357C6">
            <w:pPr>
              <w:pStyle w:val="Paragraphedelis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357C6">
              <w:rPr>
                <w:rFonts w:ascii="Arial" w:hAnsi="Arial" w:cs="Arial"/>
                <w:sz w:val="18"/>
                <w:szCs w:val="18"/>
              </w:rPr>
              <w:t xml:space="preserve">Prévenir le sur-accident. </w:t>
            </w:r>
          </w:p>
          <w:p w:rsidR="00E04C1D" w:rsidRPr="009357C6" w:rsidRDefault="00E04C1D" w:rsidP="009357C6">
            <w:pPr>
              <w:pStyle w:val="Paragraphedelis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357C6">
              <w:rPr>
                <w:rFonts w:ascii="Arial" w:hAnsi="Arial" w:cs="Arial"/>
                <w:sz w:val="18"/>
                <w:szCs w:val="18"/>
              </w:rPr>
              <w:t>Avoir des outils de nettoyage adaptés</w:t>
            </w:r>
          </w:p>
          <w:p w:rsidR="00E04C1D" w:rsidRPr="009357C6" w:rsidRDefault="00E04C1D" w:rsidP="009357C6">
            <w:pPr>
              <w:pStyle w:val="Paragraphedelis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357C6">
              <w:rPr>
                <w:rFonts w:ascii="Arial" w:hAnsi="Arial" w:cs="Arial"/>
                <w:sz w:val="18"/>
                <w:szCs w:val="18"/>
              </w:rPr>
              <w:t>En cas de contact, proposer un</w:t>
            </w:r>
            <w:r w:rsidR="000E131D">
              <w:rPr>
                <w:rFonts w:ascii="Arial" w:hAnsi="Arial" w:cs="Arial"/>
                <w:sz w:val="18"/>
                <w:szCs w:val="18"/>
              </w:rPr>
              <w:t xml:space="preserve">e consultation et </w:t>
            </w:r>
            <w:r w:rsidRPr="009357C6">
              <w:rPr>
                <w:rFonts w:ascii="Arial" w:hAnsi="Arial" w:cs="Arial"/>
                <w:sz w:val="18"/>
                <w:szCs w:val="18"/>
              </w:rPr>
              <w:t xml:space="preserve"> avis auprès du référent « risque exposition au sang »</w:t>
            </w:r>
          </w:p>
        </w:tc>
        <w:tc>
          <w:tcPr>
            <w:tcW w:w="1076" w:type="dxa"/>
            <w:shd w:val="clear" w:color="auto" w:fill="auto"/>
            <w:textDirection w:val="btLr"/>
            <w:vAlign w:val="center"/>
          </w:tcPr>
          <w:p w:rsidR="00E04C1D" w:rsidRPr="00AF6173" w:rsidRDefault="00E04C1D" w:rsidP="00AF6173">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Hygiène</w:t>
            </w:r>
          </w:p>
        </w:tc>
      </w:tr>
      <w:tr w:rsidR="00E04C1D" w:rsidTr="00920BF4">
        <w:trPr>
          <w:cantSplit/>
          <w:trHeight w:val="2041"/>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Default="00E04C1D" w:rsidP="00B0697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6977">
              <w:rPr>
                <w:rFonts w:ascii="Arial" w:hAnsi="Arial" w:cs="Arial"/>
                <w:sz w:val="18"/>
                <w:szCs w:val="18"/>
              </w:rPr>
              <w:t xml:space="preserve">Il n’existe pas d’enregistrement des contrôles du report des alarmes en opposition à la </w:t>
            </w:r>
            <w:r w:rsidR="00F24C87">
              <w:rPr>
                <w:rFonts w:ascii="Arial" w:hAnsi="Arial" w:cs="Arial"/>
                <w:sz w:val="18"/>
                <w:szCs w:val="18"/>
              </w:rPr>
              <w:t>décision</w:t>
            </w:r>
            <w:r w:rsidRPr="00B06977">
              <w:rPr>
                <w:rFonts w:ascii="Arial" w:hAnsi="Arial" w:cs="Arial"/>
                <w:sz w:val="18"/>
                <w:szCs w:val="18"/>
              </w:rPr>
              <w:t xml:space="preserve"> du </w:t>
            </w:r>
            <w:r w:rsidR="00F24C87">
              <w:rPr>
                <w:rFonts w:ascii="Arial" w:hAnsi="Arial" w:cs="Arial"/>
                <w:bCs/>
                <w:sz w:val="18"/>
                <w:szCs w:val="18"/>
              </w:rPr>
              <w:t>décision</w:t>
            </w:r>
            <w:r w:rsidRPr="00B06977">
              <w:rPr>
                <w:rFonts w:ascii="Arial" w:hAnsi="Arial" w:cs="Arial"/>
                <w:sz w:val="18"/>
                <w:szCs w:val="18"/>
              </w:rPr>
              <w:t xml:space="preserve"> du 10 Juillet 2018 définissant les principes de bonnes pratiques prévus à l’article L.1222.12 du code de santé publique..</w:t>
            </w:r>
          </w:p>
          <w:p w:rsidR="00E04C1D" w:rsidRPr="00B06977" w:rsidRDefault="00E04C1D" w:rsidP="00D62F6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154D">
              <w:rPr>
                <w:rFonts w:ascii="Arial" w:hAnsi="Arial" w:cs="Arial"/>
                <w:bCs/>
                <w:i/>
                <w:sz w:val="18"/>
                <w:szCs w:val="18"/>
              </w:rPr>
              <w:t>Principes de bonnes pratiques transfusionnelles pour les établissements de transfusion sanguine et les dépôts de sang (</w:t>
            </w:r>
            <w:r>
              <w:rPr>
                <w:rFonts w:ascii="Arial" w:hAnsi="Arial" w:cs="Arial"/>
                <w:i/>
                <w:sz w:val="18"/>
                <w:szCs w:val="18"/>
              </w:rPr>
              <w:t>7.3</w:t>
            </w:r>
            <w:r w:rsidRPr="00A9154D">
              <w:rPr>
                <w:rFonts w:ascii="Arial" w:hAnsi="Arial" w:cs="Arial"/>
                <w:i/>
                <w:sz w:val="18"/>
                <w:szCs w:val="18"/>
              </w:rPr>
              <w:t>.).</w:t>
            </w:r>
          </w:p>
        </w:tc>
        <w:tc>
          <w:tcPr>
            <w:tcW w:w="4394" w:type="dxa"/>
            <w:shd w:val="clear" w:color="auto" w:fill="auto"/>
            <w:vAlign w:val="center"/>
          </w:tcPr>
          <w:p w:rsidR="00E04C1D" w:rsidRPr="00B06977" w:rsidRDefault="00E04C1D" w:rsidP="001B00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6977">
              <w:rPr>
                <w:rFonts w:ascii="Arial" w:hAnsi="Arial" w:cs="Arial"/>
                <w:sz w:val="18"/>
                <w:szCs w:val="18"/>
              </w:rPr>
              <w:t>Toutes les alarmes doivent être testées régulièrement pour démontrer qu’elles sont efficaces.</w:t>
            </w:r>
            <w:r>
              <w:rPr>
                <w:rFonts w:ascii="Arial" w:hAnsi="Arial" w:cs="Arial"/>
                <w:sz w:val="18"/>
                <w:szCs w:val="18"/>
              </w:rPr>
              <w:t xml:space="preserve"> </w:t>
            </w:r>
            <w:r w:rsidRPr="00B06977">
              <w:rPr>
                <w:rFonts w:ascii="Arial" w:hAnsi="Arial" w:cs="Arial"/>
                <w:sz w:val="18"/>
                <w:szCs w:val="18"/>
              </w:rPr>
              <w:t xml:space="preserve">Les reports d’alarmes sont concernés. </w:t>
            </w:r>
          </w:p>
          <w:p w:rsidR="00E04C1D" w:rsidRPr="001B004C" w:rsidRDefault="00E04C1D" w:rsidP="001B004C">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004C">
              <w:rPr>
                <w:rFonts w:ascii="Arial" w:hAnsi="Arial" w:cs="Arial"/>
                <w:sz w:val="18"/>
                <w:szCs w:val="18"/>
              </w:rPr>
              <w:t>Etablir un outil d’enregistrement en prévoyant les reports d’alarmes</w:t>
            </w:r>
          </w:p>
          <w:p w:rsidR="00E04C1D" w:rsidRPr="001B004C" w:rsidRDefault="00E04C1D" w:rsidP="001B004C">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004C">
              <w:rPr>
                <w:rFonts w:ascii="Arial" w:hAnsi="Arial" w:cs="Arial"/>
                <w:sz w:val="18"/>
                <w:szCs w:val="18"/>
              </w:rPr>
              <w:t>En cas de gestion des reports d’alarme par le service biomédical, vérifier que les tests sont réalisés de manière périodique</w:t>
            </w:r>
          </w:p>
        </w:tc>
        <w:tc>
          <w:tcPr>
            <w:tcW w:w="1076" w:type="dxa"/>
            <w:shd w:val="clear" w:color="auto" w:fill="auto"/>
            <w:textDirection w:val="btLr"/>
            <w:vAlign w:val="center"/>
          </w:tcPr>
          <w:p w:rsidR="00E04C1D" w:rsidRPr="00B06977" w:rsidRDefault="00E04C1D"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04C1D" w:rsidTr="00E04C1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Pr="00D62F64" w:rsidRDefault="00E04C1D" w:rsidP="00D62F6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2F64">
              <w:rPr>
                <w:rFonts w:ascii="Arial" w:hAnsi="Arial"/>
                <w:bCs/>
                <w:sz w:val="18"/>
                <w:szCs w:val="18"/>
              </w:rPr>
              <w:t xml:space="preserve">Le personnel du dépôt réalise des vérifications des alarmes mais ces dernières ne sont pas toutes enregistrées et validées </w:t>
            </w:r>
            <w:r w:rsidRPr="00D62F64">
              <w:rPr>
                <w:rFonts w:ascii="Arial" w:hAnsi="Arial" w:cs="Arial"/>
                <w:bCs/>
                <w:sz w:val="18"/>
                <w:szCs w:val="18"/>
              </w:rPr>
              <w:t xml:space="preserve">en opposition à la </w:t>
            </w:r>
            <w:r w:rsidR="00F24C87">
              <w:rPr>
                <w:rFonts w:ascii="Arial" w:hAnsi="Arial" w:cs="Arial"/>
                <w:sz w:val="18"/>
                <w:szCs w:val="18"/>
              </w:rPr>
              <w:t>décision</w:t>
            </w:r>
            <w:r w:rsidRPr="00D62F64">
              <w:rPr>
                <w:rFonts w:ascii="Arial" w:hAnsi="Arial" w:cs="Arial"/>
                <w:sz w:val="18"/>
                <w:szCs w:val="18"/>
              </w:rPr>
              <w:t xml:space="preserve"> du 10 Juillet 2018 définissant les principes de bonnes pratiques prévus à l’article L.1222.12 du code de santé publique</w:t>
            </w:r>
          </w:p>
          <w:p w:rsidR="00E04C1D" w:rsidRPr="00D62F64" w:rsidRDefault="00E04C1D" w:rsidP="00D62F6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62F64">
              <w:rPr>
                <w:rFonts w:ascii="Arial" w:hAnsi="Arial" w:cs="Arial"/>
                <w:bCs/>
                <w:i/>
                <w:sz w:val="18"/>
                <w:szCs w:val="18"/>
              </w:rPr>
              <w:t>Principes de bonnes pratiques transfusionnelles pour les établissements de transfusion sanguine et les dépôts de sang (</w:t>
            </w:r>
            <w:r w:rsidRPr="00D62F64">
              <w:rPr>
                <w:rFonts w:ascii="Arial" w:hAnsi="Arial" w:cs="Arial"/>
                <w:i/>
                <w:sz w:val="18"/>
                <w:szCs w:val="18"/>
              </w:rPr>
              <w:t>7.3.).</w:t>
            </w:r>
          </w:p>
        </w:tc>
        <w:tc>
          <w:tcPr>
            <w:tcW w:w="4394" w:type="dxa"/>
            <w:shd w:val="clear" w:color="auto" w:fill="auto"/>
            <w:vAlign w:val="center"/>
          </w:tcPr>
          <w:p w:rsidR="00E04C1D" w:rsidRPr="00D62F64" w:rsidRDefault="00E04C1D" w:rsidP="00D62F6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2F64">
              <w:rPr>
                <w:rFonts w:ascii="Arial" w:hAnsi="Arial" w:cs="Arial"/>
                <w:sz w:val="18"/>
                <w:szCs w:val="18"/>
              </w:rPr>
              <w:t>Pour les alarmes hautes :</w:t>
            </w:r>
          </w:p>
          <w:p w:rsidR="00E04C1D" w:rsidRPr="002245DC" w:rsidRDefault="00E04C1D" w:rsidP="002245DC">
            <w:pPr>
              <w:pStyle w:val="Paragraphedeliste"/>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45DC">
              <w:rPr>
                <w:rFonts w:ascii="Arial" w:hAnsi="Arial" w:cs="Arial"/>
                <w:sz w:val="18"/>
                <w:szCs w:val="18"/>
              </w:rPr>
              <w:t>Prévoir enregistrement du déclenchement de l’alarme lors des opérations de nettoyage</w:t>
            </w:r>
          </w:p>
          <w:p w:rsidR="00E04C1D" w:rsidRPr="002245DC" w:rsidRDefault="00E04C1D" w:rsidP="002245DC">
            <w:pPr>
              <w:pStyle w:val="Paragraphedeliste"/>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45DC">
              <w:rPr>
                <w:rFonts w:ascii="Arial" w:hAnsi="Arial" w:cs="Arial"/>
                <w:sz w:val="18"/>
                <w:szCs w:val="18"/>
              </w:rPr>
              <w:t>Etablir un outil d’enregistrement. On peut ajouter ce contrôle à la check liste des opérations de nettoyage entretien.</w:t>
            </w:r>
          </w:p>
          <w:p w:rsidR="00E04C1D" w:rsidRPr="00D62F64" w:rsidRDefault="00E04C1D" w:rsidP="00D62F6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2F64">
              <w:rPr>
                <w:rFonts w:ascii="Arial" w:hAnsi="Arial" w:cs="Arial"/>
                <w:sz w:val="18"/>
                <w:szCs w:val="18"/>
              </w:rPr>
              <w:t>Pour le seuil bas des enceintes CG :</w:t>
            </w:r>
          </w:p>
          <w:p w:rsidR="00E04C1D" w:rsidRPr="002245DC" w:rsidRDefault="00E04C1D" w:rsidP="002245DC">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45DC">
              <w:rPr>
                <w:rFonts w:ascii="Arial" w:hAnsi="Arial" w:cs="Arial"/>
                <w:sz w:val="18"/>
                <w:szCs w:val="18"/>
              </w:rPr>
              <w:t>Voir avec le service biomédical et enregistrer le contrôle</w:t>
            </w:r>
          </w:p>
          <w:p w:rsidR="00E04C1D" w:rsidRDefault="00E04C1D" w:rsidP="00D62F64">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8"/>
                <w:szCs w:val="18"/>
              </w:rPr>
              <w:t>Il est possible également de vérifier les alarmes en décours des opérations de maintenance à condition de savoir avec précision ce que fait le prestataire ou le service biomédical.</w:t>
            </w:r>
          </w:p>
        </w:tc>
        <w:tc>
          <w:tcPr>
            <w:tcW w:w="1076" w:type="dxa"/>
            <w:shd w:val="clear" w:color="auto" w:fill="auto"/>
            <w:textDirection w:val="btLr"/>
            <w:vAlign w:val="center"/>
          </w:tcPr>
          <w:p w:rsidR="00E04C1D" w:rsidRPr="00D62F64" w:rsidRDefault="00E04C1D"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04C1D" w:rsidTr="00920BF4">
        <w:trPr>
          <w:cantSplit/>
          <w:trHeight w:val="249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Pr="00CC6EFC" w:rsidRDefault="00E04C1D" w:rsidP="00CC6EF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C6EFC">
              <w:rPr>
                <w:rFonts w:ascii="Arial" w:hAnsi="Arial" w:cs="Arial"/>
                <w:bCs/>
                <w:sz w:val="18"/>
                <w:szCs w:val="18"/>
              </w:rPr>
              <w:t xml:space="preserve">Les disques d’enregistrement de la température des enceintes de conservation des produits sanguins ne sont pas validés par le personnel du dépôt ; rien ne permet de vérifier que les disques sont analysés et pris en compte en opposition à la </w:t>
            </w:r>
            <w:r w:rsidR="00F24C87">
              <w:rPr>
                <w:rFonts w:ascii="Arial" w:hAnsi="Arial" w:cs="Arial"/>
                <w:sz w:val="18"/>
                <w:szCs w:val="18"/>
              </w:rPr>
              <w:t>décision</w:t>
            </w:r>
            <w:r w:rsidRPr="00CC6EFC">
              <w:rPr>
                <w:rFonts w:ascii="Arial" w:hAnsi="Arial" w:cs="Arial"/>
                <w:sz w:val="18"/>
                <w:szCs w:val="18"/>
              </w:rPr>
              <w:t xml:space="preserve"> du 10 Juillet 2018 définissant les principes de bonnes pratiques prévus à l’article L.1222.12 du code de santé publique</w:t>
            </w:r>
          </w:p>
          <w:p w:rsidR="00E04C1D" w:rsidRPr="00CC6EFC" w:rsidRDefault="00E04C1D" w:rsidP="00DD5F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C6EFC">
              <w:rPr>
                <w:rFonts w:ascii="Arial" w:hAnsi="Arial" w:cs="Arial"/>
                <w:bCs/>
                <w:i/>
                <w:sz w:val="18"/>
                <w:szCs w:val="18"/>
              </w:rPr>
              <w:t>Principes de bonnes pratiques transfusionnelles pour les établissements de transfusion sanguine et les dépôts de sang (</w:t>
            </w:r>
            <w:r w:rsidRPr="00CC6EFC">
              <w:rPr>
                <w:rFonts w:ascii="Arial" w:hAnsi="Arial" w:cs="Arial"/>
                <w:i/>
                <w:sz w:val="18"/>
                <w:szCs w:val="18"/>
              </w:rPr>
              <w:t>4.1.3</w:t>
            </w:r>
            <w:r>
              <w:rPr>
                <w:rFonts w:ascii="Arial" w:hAnsi="Arial" w:cs="Arial"/>
                <w:i/>
                <w:sz w:val="18"/>
                <w:szCs w:val="18"/>
              </w:rPr>
              <w:t xml:space="preserve"> – 7.3.</w:t>
            </w:r>
            <w:r w:rsidRPr="00CC6EFC">
              <w:rPr>
                <w:rFonts w:ascii="Arial" w:hAnsi="Arial" w:cs="Arial"/>
                <w:i/>
                <w:sz w:val="18"/>
                <w:szCs w:val="18"/>
              </w:rPr>
              <w:t>).</w:t>
            </w:r>
          </w:p>
        </w:tc>
        <w:tc>
          <w:tcPr>
            <w:tcW w:w="4394" w:type="dxa"/>
            <w:shd w:val="clear" w:color="auto" w:fill="auto"/>
            <w:vAlign w:val="center"/>
          </w:tcPr>
          <w:p w:rsidR="00E04C1D" w:rsidRPr="002F3FE5" w:rsidRDefault="00E04C1D" w:rsidP="002F3FE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Les disques doivent être systématiquement analysés et validés par le visa ou la signature d’une personne du dépôt avant archivage pour attester de la normalité. En cas de non-conformité une déclaration d’évènement indésirable au sein du laboratoire est déclenchée.</w:t>
            </w:r>
          </w:p>
        </w:tc>
        <w:tc>
          <w:tcPr>
            <w:tcW w:w="1076" w:type="dxa"/>
            <w:shd w:val="clear" w:color="auto" w:fill="auto"/>
            <w:textDirection w:val="btLr"/>
            <w:vAlign w:val="center"/>
          </w:tcPr>
          <w:p w:rsidR="00E04C1D" w:rsidRDefault="00E04C1D"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04C1D" w:rsidTr="00920BF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Pr="00CC6EFC" w:rsidRDefault="00E04C1D" w:rsidP="00CC6EF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C6EFC">
              <w:rPr>
                <w:rFonts w:ascii="Arial" w:hAnsi="Arial" w:cs="Arial"/>
                <w:bCs/>
                <w:sz w:val="18"/>
                <w:szCs w:val="18"/>
              </w:rPr>
              <w:t xml:space="preserve">Les enregistrements continus de la température des enceintes ne sont pas validés par le personnel du dépôt. rien ne permet de vérifier que les tracés sont analysés et pris en compte en particulier pour la détection d’une dérive de la température en opposition à la </w:t>
            </w:r>
            <w:r w:rsidR="00F24C87">
              <w:rPr>
                <w:rFonts w:ascii="Arial" w:hAnsi="Arial" w:cs="Arial"/>
                <w:sz w:val="18"/>
                <w:szCs w:val="18"/>
              </w:rPr>
              <w:t>décision</w:t>
            </w:r>
            <w:r w:rsidRPr="00CC6EFC">
              <w:rPr>
                <w:rFonts w:ascii="Arial" w:hAnsi="Arial" w:cs="Arial"/>
                <w:sz w:val="18"/>
                <w:szCs w:val="18"/>
              </w:rPr>
              <w:t xml:space="preserve"> du 10 Juillet 2018 définissant les principes de bonnes pratiques prévus à l’article L.1222.12 du code de santé publique</w:t>
            </w:r>
          </w:p>
          <w:p w:rsidR="00E04C1D" w:rsidRPr="00CC6EFC" w:rsidRDefault="00E04C1D" w:rsidP="00DD5F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C6EFC">
              <w:rPr>
                <w:rFonts w:ascii="Arial" w:hAnsi="Arial" w:cs="Arial"/>
                <w:bCs/>
                <w:i/>
                <w:sz w:val="18"/>
                <w:szCs w:val="18"/>
              </w:rPr>
              <w:t>Principes de bonnes pratiques transfusionnelles pour les établissements de transfusion sanguine et les dépôts de sang (</w:t>
            </w:r>
            <w:r w:rsidRPr="00CC6EFC">
              <w:rPr>
                <w:rFonts w:ascii="Arial" w:hAnsi="Arial" w:cs="Arial"/>
                <w:i/>
                <w:sz w:val="18"/>
                <w:szCs w:val="18"/>
              </w:rPr>
              <w:t>4.1.3</w:t>
            </w:r>
            <w:r>
              <w:rPr>
                <w:rFonts w:ascii="Arial" w:hAnsi="Arial" w:cs="Arial"/>
                <w:i/>
                <w:sz w:val="18"/>
                <w:szCs w:val="18"/>
              </w:rPr>
              <w:t xml:space="preserve"> - 7.3.</w:t>
            </w:r>
            <w:r w:rsidRPr="00CC6EFC">
              <w:rPr>
                <w:rFonts w:ascii="Arial" w:hAnsi="Arial" w:cs="Arial"/>
                <w:i/>
                <w:sz w:val="18"/>
                <w:szCs w:val="18"/>
              </w:rPr>
              <w:t>).</w:t>
            </w:r>
          </w:p>
        </w:tc>
        <w:tc>
          <w:tcPr>
            <w:tcW w:w="4394" w:type="dxa"/>
            <w:shd w:val="clear" w:color="auto" w:fill="auto"/>
            <w:vAlign w:val="center"/>
          </w:tcPr>
          <w:p w:rsidR="00E04C1D" w:rsidRDefault="00E04C1D" w:rsidP="00DD5F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Les enregistrements continus transférés sur PC doivent être systématiquement analysés et validés par le visa ou la signature d’une personne du dépôt pour attester de la normalité et pour rechercher une éventuelle dérive En cas de non-conformité une déclaration d’évènement indésirable au sein du laboratoire est déclenchée.</w:t>
            </w:r>
          </w:p>
          <w:p w:rsidR="00E04C1D" w:rsidRPr="002F3FE5" w:rsidRDefault="00E04C1D" w:rsidP="00DD5F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Etablir une fréquence d’analyse du tracé informatique des enregistrements</w:t>
            </w:r>
          </w:p>
        </w:tc>
        <w:tc>
          <w:tcPr>
            <w:tcW w:w="1076" w:type="dxa"/>
            <w:shd w:val="clear" w:color="auto" w:fill="auto"/>
            <w:textDirection w:val="btLr"/>
            <w:vAlign w:val="center"/>
          </w:tcPr>
          <w:p w:rsidR="00E04C1D" w:rsidRDefault="00E04C1D"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04C1D" w:rsidTr="00920BF4">
        <w:trPr>
          <w:cantSplit/>
          <w:trHeight w:val="2608"/>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lastRenderedPageBreak/>
              <w:t>E</w:t>
            </w:r>
          </w:p>
        </w:tc>
        <w:tc>
          <w:tcPr>
            <w:tcW w:w="4678" w:type="dxa"/>
            <w:shd w:val="clear" w:color="auto" w:fill="auto"/>
            <w:vAlign w:val="center"/>
          </w:tcPr>
          <w:p w:rsidR="00E04C1D" w:rsidRPr="009F4C9A" w:rsidRDefault="00E04C1D" w:rsidP="009F4C9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4C9A">
              <w:rPr>
                <w:rFonts w:ascii="Arial" w:hAnsi="Arial" w:cs="Arial"/>
                <w:bCs/>
                <w:sz w:val="18"/>
                <w:szCs w:val="18"/>
              </w:rPr>
              <w:t xml:space="preserve">Les qualifications (caractérisation) des enceintes de conservation des produits sanguins ne sont pas validées par le personnel du dépôt ; rien ne permet de vérifier que ces rapports sont analysés et pris en compte en opposition à la </w:t>
            </w:r>
            <w:r w:rsidR="00F24C87">
              <w:rPr>
                <w:rFonts w:ascii="Arial" w:hAnsi="Arial" w:cs="Arial"/>
                <w:sz w:val="18"/>
                <w:szCs w:val="18"/>
              </w:rPr>
              <w:t>décision</w:t>
            </w:r>
            <w:r w:rsidRPr="009F4C9A">
              <w:rPr>
                <w:rFonts w:ascii="Arial" w:hAnsi="Arial" w:cs="Arial"/>
                <w:sz w:val="18"/>
                <w:szCs w:val="18"/>
              </w:rPr>
              <w:t xml:space="preserve"> du 10 Juillet 2018 définissant les principes de bonnes pratiques prévus à l’article L.1222.12 du code de santé publique</w:t>
            </w:r>
          </w:p>
          <w:p w:rsidR="00E04C1D" w:rsidRPr="009F4C9A" w:rsidRDefault="00E04C1D" w:rsidP="009F4C9A">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F4C9A">
              <w:rPr>
                <w:rFonts w:ascii="Arial" w:hAnsi="Arial" w:cs="Arial"/>
                <w:bCs/>
                <w:i/>
                <w:sz w:val="18"/>
                <w:szCs w:val="18"/>
              </w:rPr>
              <w:t>Principes de bonnes pratiques transfusionnelles pour les établissements de transfusion sanguine et les dépôts de sang (</w:t>
            </w:r>
            <w:r w:rsidRPr="009F4C9A">
              <w:rPr>
                <w:rFonts w:ascii="Arial" w:hAnsi="Arial" w:cs="Arial"/>
                <w:i/>
                <w:sz w:val="18"/>
                <w:szCs w:val="18"/>
              </w:rPr>
              <w:t>4.1.3 - 7.3.).</w:t>
            </w:r>
          </w:p>
        </w:tc>
        <w:tc>
          <w:tcPr>
            <w:tcW w:w="4394" w:type="dxa"/>
            <w:shd w:val="clear" w:color="auto" w:fill="auto"/>
            <w:vAlign w:val="center"/>
          </w:tcPr>
          <w:p w:rsidR="00E04C1D" w:rsidRPr="009F4C9A" w:rsidRDefault="00E04C1D" w:rsidP="009F4C9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4C9A">
              <w:rPr>
                <w:rFonts w:ascii="Arial" w:hAnsi="Arial" w:cs="Arial"/>
                <w:sz w:val="18"/>
                <w:szCs w:val="18"/>
              </w:rPr>
              <w:t>Même si le prestataire analyse sa caractérisation en conforme et non conforme, le personnel du dépôt doit valider ce rapport de caractérisation en le signant de manière à prouver que le résultat a bien été pris en compte</w:t>
            </w:r>
          </w:p>
        </w:tc>
        <w:tc>
          <w:tcPr>
            <w:tcW w:w="1076" w:type="dxa"/>
            <w:shd w:val="clear" w:color="auto" w:fill="auto"/>
            <w:textDirection w:val="btLr"/>
            <w:vAlign w:val="center"/>
          </w:tcPr>
          <w:p w:rsidR="00E04C1D" w:rsidRPr="00A02CF4" w:rsidRDefault="00E04C1D" w:rsidP="00DD5F1E">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2CF4">
              <w:rPr>
                <w:rFonts w:ascii="Arial" w:hAnsi="Arial" w:cs="Arial"/>
                <w:sz w:val="18"/>
                <w:szCs w:val="18"/>
              </w:rPr>
              <w:t>Matériel</w:t>
            </w:r>
          </w:p>
        </w:tc>
      </w:tr>
      <w:tr w:rsidR="00E04C1D" w:rsidTr="00E04C1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Pr="002F3FE5" w:rsidRDefault="00E04C1D" w:rsidP="002F3F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2F3FE5">
              <w:rPr>
                <w:rFonts w:ascii="Arial" w:hAnsi="Arial"/>
                <w:bCs/>
                <w:sz w:val="18"/>
                <w:szCs w:val="18"/>
              </w:rPr>
              <w:t xml:space="preserve">Le compte rendu de la dernière maintenance du conservateur de secours n’est pas disponible </w:t>
            </w:r>
            <w:r w:rsidRPr="002F3FE5">
              <w:rPr>
                <w:rFonts w:ascii="Arial" w:hAnsi="Arial" w:cs="Arial"/>
                <w:bCs/>
                <w:sz w:val="18"/>
                <w:szCs w:val="18"/>
              </w:rPr>
              <w:t xml:space="preserve">en opposition à la </w:t>
            </w:r>
            <w:r w:rsidR="00F24C87">
              <w:rPr>
                <w:rFonts w:ascii="Arial" w:hAnsi="Arial" w:cs="Arial"/>
                <w:sz w:val="18"/>
                <w:szCs w:val="18"/>
              </w:rPr>
              <w:t>décision</w:t>
            </w:r>
            <w:r w:rsidRPr="002F3FE5">
              <w:rPr>
                <w:rFonts w:ascii="Arial" w:hAnsi="Arial" w:cs="Arial"/>
                <w:sz w:val="18"/>
                <w:szCs w:val="18"/>
              </w:rPr>
              <w:t xml:space="preserve"> du 10 Juillet 2018 définissant les principes de bonnes pratiques prévus à l’article L.1222.12 du code de santé publique</w:t>
            </w:r>
            <w:r w:rsidRPr="002F3FE5">
              <w:rPr>
                <w:rFonts w:ascii="Arial" w:hAnsi="Arial"/>
                <w:bCs/>
                <w:sz w:val="18"/>
                <w:szCs w:val="18"/>
              </w:rPr>
              <w:t>.</w:t>
            </w:r>
          </w:p>
          <w:p w:rsidR="00E04C1D" w:rsidRPr="00EB7CCB" w:rsidRDefault="00E04C1D" w:rsidP="002F3F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2F3FE5">
              <w:rPr>
                <w:rFonts w:ascii="Arial" w:hAnsi="Arial" w:cs="Arial"/>
                <w:bCs/>
                <w:i/>
                <w:sz w:val="18"/>
                <w:szCs w:val="18"/>
              </w:rPr>
              <w:t>Principes de bonnes pratiques transfusionnelles pour les établissements de transfusion sanguine et les dépôts de sang (</w:t>
            </w:r>
            <w:r w:rsidRPr="002F3FE5">
              <w:rPr>
                <w:rFonts w:ascii="Arial" w:hAnsi="Arial" w:cs="Arial"/>
                <w:i/>
                <w:sz w:val="18"/>
                <w:szCs w:val="18"/>
              </w:rPr>
              <w:t>4.1.3.</w:t>
            </w:r>
            <w:r>
              <w:rPr>
                <w:rFonts w:ascii="Arial" w:hAnsi="Arial" w:cs="Arial"/>
                <w:i/>
                <w:sz w:val="18"/>
                <w:szCs w:val="18"/>
              </w:rPr>
              <w:t>- 7.3.</w:t>
            </w:r>
            <w:r w:rsidRPr="002F3FE5">
              <w:rPr>
                <w:rFonts w:ascii="Arial" w:hAnsi="Arial" w:cs="Arial"/>
                <w:i/>
                <w:sz w:val="18"/>
                <w:szCs w:val="18"/>
              </w:rPr>
              <w:t>).</w:t>
            </w:r>
          </w:p>
        </w:tc>
        <w:tc>
          <w:tcPr>
            <w:tcW w:w="4394" w:type="dxa"/>
            <w:shd w:val="clear" w:color="auto" w:fill="auto"/>
            <w:vAlign w:val="center"/>
          </w:tcPr>
          <w:p w:rsidR="00E04C1D" w:rsidRPr="002F3FE5" w:rsidRDefault="00E04C1D" w:rsidP="002F3FE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F3FE5">
              <w:rPr>
                <w:rFonts w:ascii="Arial" w:hAnsi="Arial" w:cs="Arial"/>
                <w:sz w:val="18"/>
                <w:szCs w:val="18"/>
              </w:rPr>
              <w:t>La maintenance est nécessaire elle peut être réalisée par un prestataire</w:t>
            </w:r>
            <w:r>
              <w:rPr>
                <w:rFonts w:ascii="Arial" w:hAnsi="Arial" w:cs="Arial"/>
                <w:sz w:val="18"/>
                <w:szCs w:val="18"/>
              </w:rPr>
              <w:t xml:space="preserve"> ou le service biomédical</w:t>
            </w:r>
            <w:r w:rsidRPr="002F3FE5">
              <w:rPr>
                <w:rFonts w:ascii="Arial" w:hAnsi="Arial" w:cs="Arial"/>
                <w:sz w:val="18"/>
                <w:szCs w:val="18"/>
              </w:rPr>
              <w:t xml:space="preserve"> de l’établissement.</w:t>
            </w:r>
          </w:p>
          <w:p w:rsidR="00E04C1D" w:rsidRPr="002F3FE5" w:rsidRDefault="00E04C1D" w:rsidP="002F3FE5">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F3FE5">
              <w:rPr>
                <w:rFonts w:ascii="Arial" w:hAnsi="Arial" w:cs="Arial"/>
                <w:sz w:val="18"/>
                <w:szCs w:val="18"/>
              </w:rPr>
              <w:t>Avoir le listing précis de ce qui est vérifié</w:t>
            </w:r>
          </w:p>
          <w:p w:rsidR="00E04C1D" w:rsidRPr="002F3FE5" w:rsidRDefault="00E04C1D" w:rsidP="002F3FE5">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F3FE5">
              <w:rPr>
                <w:rFonts w:ascii="Arial" w:hAnsi="Arial" w:cs="Arial"/>
                <w:sz w:val="18"/>
                <w:szCs w:val="18"/>
              </w:rPr>
              <w:t>Connaitre avec précision ce qui st fait au niveau du contrôle des alarmes</w:t>
            </w:r>
          </w:p>
          <w:p w:rsidR="00E04C1D" w:rsidRPr="002F3FE5" w:rsidRDefault="00E04C1D" w:rsidP="002F3FE5">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F3FE5">
              <w:rPr>
                <w:rFonts w:ascii="Arial" w:hAnsi="Arial" w:cs="Arial"/>
                <w:sz w:val="18"/>
                <w:szCs w:val="18"/>
              </w:rPr>
              <w:t>Obtenir les comptes rendus de maintenance</w:t>
            </w:r>
          </w:p>
          <w:p w:rsidR="00E04C1D" w:rsidRPr="002F3FE5" w:rsidRDefault="00E04C1D" w:rsidP="002F3FE5">
            <w:pPr>
              <w:pStyle w:val="Paragraphedeliste"/>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F3FE5">
              <w:rPr>
                <w:rFonts w:ascii="Arial" w:hAnsi="Arial" w:cs="Arial"/>
                <w:sz w:val="18"/>
                <w:szCs w:val="18"/>
              </w:rPr>
              <w:t>Signer les CR de maintenance pour attester de leur lecture</w:t>
            </w:r>
          </w:p>
          <w:p w:rsidR="00E04C1D" w:rsidRDefault="00E04C1D" w:rsidP="002F3FE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F3FE5">
              <w:rPr>
                <w:rFonts w:ascii="Arial" w:hAnsi="Arial" w:cs="Arial"/>
                <w:sz w:val="18"/>
                <w:szCs w:val="18"/>
              </w:rPr>
              <w:t>Il est possible de déléguer la gestion des CR au service biomédical mais ce dernier doit pouvoir les fournir</w:t>
            </w:r>
            <w:r>
              <w:rPr>
                <w:rFonts w:ascii="Arial" w:hAnsi="Arial" w:cs="Arial"/>
                <w:sz w:val="18"/>
                <w:szCs w:val="18"/>
              </w:rPr>
              <w:t>.</w:t>
            </w:r>
          </w:p>
        </w:tc>
        <w:tc>
          <w:tcPr>
            <w:tcW w:w="1076" w:type="dxa"/>
            <w:shd w:val="clear" w:color="auto" w:fill="auto"/>
            <w:textDirection w:val="btLr"/>
            <w:vAlign w:val="center"/>
          </w:tcPr>
          <w:p w:rsidR="00E04C1D" w:rsidRPr="002F3FE5" w:rsidRDefault="00E04C1D"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04C1D" w:rsidTr="00920BF4">
        <w:trPr>
          <w:cantSplit/>
          <w:trHeight w:val="2835"/>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Pr="002F3FE5" w:rsidRDefault="00E04C1D" w:rsidP="00E843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Pr>
                <w:rFonts w:ascii="Arial" w:hAnsi="Arial" w:cs="Arial"/>
                <w:sz w:val="18"/>
                <w:szCs w:val="18"/>
              </w:rPr>
              <w:t xml:space="preserve">L’enceinte de conservation principale des concentrés globulaires est qualifiée pour de mauvaise spécifications (2°c à 8°c au lieu de 2°c à 6°c) </w:t>
            </w:r>
            <w:r w:rsidRPr="002F3FE5">
              <w:rPr>
                <w:rFonts w:ascii="Arial" w:hAnsi="Arial" w:cs="Arial"/>
                <w:bCs/>
                <w:sz w:val="18"/>
                <w:szCs w:val="18"/>
              </w:rPr>
              <w:t xml:space="preserve">en opposition à la </w:t>
            </w:r>
            <w:r w:rsidR="00F24C87">
              <w:rPr>
                <w:rFonts w:ascii="Arial" w:hAnsi="Arial" w:cs="Arial"/>
                <w:sz w:val="18"/>
                <w:szCs w:val="18"/>
              </w:rPr>
              <w:t>décision</w:t>
            </w:r>
            <w:r w:rsidRPr="002F3FE5">
              <w:rPr>
                <w:rFonts w:ascii="Arial" w:hAnsi="Arial" w:cs="Arial"/>
                <w:sz w:val="18"/>
                <w:szCs w:val="18"/>
              </w:rPr>
              <w:t xml:space="preserve"> du 10 Juillet 2018 définissant les principes de bonnes pratiques prévus à l’article L.1222.12 du code de santé publique</w:t>
            </w:r>
            <w:r w:rsidRPr="002F3FE5">
              <w:rPr>
                <w:rFonts w:ascii="Arial" w:hAnsi="Arial"/>
                <w:bCs/>
                <w:sz w:val="18"/>
                <w:szCs w:val="18"/>
              </w:rPr>
              <w:t>.</w:t>
            </w:r>
          </w:p>
          <w:p w:rsidR="00E04C1D" w:rsidRDefault="00E04C1D" w:rsidP="00E843D5">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5D0089">
              <w:rPr>
                <w:rFonts w:ascii="Arial" w:hAnsi="Arial" w:cs="Arial"/>
                <w:bCs/>
                <w:i/>
                <w:sz w:val="18"/>
                <w:szCs w:val="18"/>
              </w:rPr>
              <w:t>Ligne directrice relative au stockage, au transport et à la conservation des prélèvements, des tubes échantillons et des produits sanguins labiles (</w:t>
            </w:r>
            <w:r>
              <w:rPr>
                <w:rFonts w:ascii="Arial" w:hAnsi="Arial" w:cs="Arial"/>
                <w:i/>
                <w:sz w:val="18"/>
                <w:szCs w:val="18"/>
              </w:rPr>
              <w:t>I.1.1.</w:t>
            </w:r>
            <w:r w:rsidRPr="005D0089">
              <w:rPr>
                <w:rFonts w:ascii="Arial" w:hAnsi="Arial" w:cs="Arial"/>
                <w:i/>
                <w:sz w:val="18"/>
                <w:szCs w:val="18"/>
              </w:rPr>
              <w:t>).</w:t>
            </w:r>
          </w:p>
          <w:p w:rsidR="00E04C1D" w:rsidRPr="009675A5" w:rsidRDefault="00E04C1D" w:rsidP="00E843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FE5">
              <w:rPr>
                <w:rFonts w:ascii="Arial" w:hAnsi="Arial" w:cs="Arial"/>
                <w:bCs/>
                <w:i/>
                <w:sz w:val="18"/>
                <w:szCs w:val="18"/>
              </w:rPr>
              <w:t>Principes de bonnes pratiques transfusionnelles pour les établissements de transfusion sanguine et les dépôts de sang (</w:t>
            </w:r>
            <w:r>
              <w:rPr>
                <w:rFonts w:ascii="Arial" w:hAnsi="Arial" w:cs="Arial"/>
                <w:i/>
                <w:sz w:val="18"/>
                <w:szCs w:val="18"/>
              </w:rPr>
              <w:t xml:space="preserve"> 7.3.</w:t>
            </w:r>
            <w:r w:rsidRPr="002F3FE5">
              <w:rPr>
                <w:rFonts w:ascii="Arial" w:hAnsi="Arial" w:cs="Arial"/>
                <w:i/>
                <w:sz w:val="18"/>
                <w:szCs w:val="18"/>
              </w:rPr>
              <w:t>).</w:t>
            </w:r>
          </w:p>
        </w:tc>
        <w:tc>
          <w:tcPr>
            <w:tcW w:w="4394" w:type="dxa"/>
            <w:shd w:val="clear" w:color="auto" w:fill="auto"/>
            <w:vAlign w:val="center"/>
          </w:tcPr>
          <w:p w:rsidR="00E04C1D" w:rsidRPr="00297DE6" w:rsidRDefault="00E04C1D" w:rsidP="00297DE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7DE6">
              <w:rPr>
                <w:rFonts w:ascii="Arial" w:hAnsi="Arial" w:cs="Arial"/>
                <w:sz w:val="18"/>
                <w:szCs w:val="18"/>
              </w:rPr>
              <w:t>Respecter les caractéristiques de produits sanguins qui sont différ</w:t>
            </w:r>
            <w:r>
              <w:rPr>
                <w:rFonts w:ascii="Arial" w:hAnsi="Arial" w:cs="Arial"/>
                <w:sz w:val="18"/>
                <w:szCs w:val="18"/>
              </w:rPr>
              <w:t xml:space="preserve">ents des conditions imposées aux </w:t>
            </w:r>
            <w:r w:rsidRPr="00297DE6">
              <w:rPr>
                <w:rFonts w:ascii="Arial" w:hAnsi="Arial" w:cs="Arial"/>
                <w:sz w:val="18"/>
                <w:szCs w:val="18"/>
              </w:rPr>
              <w:t>laboratoires pour la conservation des réactifs</w:t>
            </w:r>
          </w:p>
        </w:tc>
        <w:tc>
          <w:tcPr>
            <w:tcW w:w="1076" w:type="dxa"/>
            <w:shd w:val="clear" w:color="auto" w:fill="auto"/>
            <w:textDirection w:val="btLr"/>
            <w:vAlign w:val="center"/>
          </w:tcPr>
          <w:p w:rsidR="00E04C1D" w:rsidRPr="00297DE6" w:rsidRDefault="00E04C1D"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04C1D" w:rsidTr="00920BF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R</w:t>
            </w:r>
          </w:p>
        </w:tc>
        <w:tc>
          <w:tcPr>
            <w:tcW w:w="4678" w:type="dxa"/>
            <w:shd w:val="clear" w:color="auto" w:fill="auto"/>
            <w:vAlign w:val="center"/>
          </w:tcPr>
          <w:p w:rsidR="00E04C1D" w:rsidRPr="005406DF" w:rsidRDefault="00E04C1D" w:rsidP="005406DF">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5406DF">
              <w:rPr>
                <w:rFonts w:ascii="Arial" w:hAnsi="Arial" w:cs="Arial"/>
                <w:bCs/>
                <w:sz w:val="18"/>
                <w:szCs w:val="18"/>
              </w:rPr>
              <w:t>Les délégations de la maintenance du matériel au service technique et la gestion de l’informatique du dépôt par le service informatique de l’établissement doivent être formalisées. Ces délégations précisent les missions qui reviennent au dépôt ou aux autres services.</w:t>
            </w:r>
          </w:p>
        </w:tc>
        <w:tc>
          <w:tcPr>
            <w:tcW w:w="4394" w:type="dxa"/>
            <w:shd w:val="clear" w:color="auto" w:fill="auto"/>
            <w:vAlign w:val="center"/>
          </w:tcPr>
          <w:p w:rsidR="00E04C1D" w:rsidRPr="005406DF" w:rsidRDefault="00E04C1D" w:rsidP="005406D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406DF">
              <w:rPr>
                <w:rFonts w:ascii="Arial" w:hAnsi="Arial" w:cs="Arial"/>
                <w:sz w:val="18"/>
                <w:szCs w:val="18"/>
              </w:rPr>
              <w:t>Même au sein d’une même structure, il est préférable de bien formaliser ce que chacun doit faire</w:t>
            </w:r>
            <w:r>
              <w:rPr>
                <w:rFonts w:ascii="Arial" w:hAnsi="Arial" w:cs="Arial"/>
                <w:sz w:val="18"/>
                <w:szCs w:val="18"/>
              </w:rPr>
              <w:t xml:space="preserve"> et comment les diverses données sont réparties et disponibles.</w:t>
            </w:r>
          </w:p>
        </w:tc>
        <w:tc>
          <w:tcPr>
            <w:tcW w:w="1076" w:type="dxa"/>
            <w:shd w:val="clear" w:color="auto" w:fill="auto"/>
            <w:textDirection w:val="btLr"/>
            <w:vAlign w:val="center"/>
          </w:tcPr>
          <w:p w:rsidR="00E04C1D" w:rsidRPr="005406DF" w:rsidRDefault="00E04C1D"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Matériel</w:t>
            </w:r>
          </w:p>
        </w:tc>
      </w:tr>
      <w:tr w:rsidR="00E04C1D" w:rsidTr="00920BF4">
        <w:trPr>
          <w:cantSplit/>
          <w:trHeight w:val="147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R</w:t>
            </w:r>
          </w:p>
        </w:tc>
        <w:tc>
          <w:tcPr>
            <w:tcW w:w="4678" w:type="dxa"/>
            <w:shd w:val="clear" w:color="auto" w:fill="auto"/>
            <w:vAlign w:val="center"/>
          </w:tcPr>
          <w:p w:rsidR="00E04C1D" w:rsidRPr="00CA28A4" w:rsidRDefault="00E04C1D" w:rsidP="00CA28A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A28A4">
              <w:rPr>
                <w:rFonts w:ascii="Arial" w:hAnsi="Arial" w:cs="Arial"/>
                <w:bCs/>
                <w:sz w:val="18"/>
                <w:szCs w:val="18"/>
              </w:rPr>
              <w:t>Il n’existe pas, au niveau du dépôt, de conduite à tenir permettant de contacter l’EFS en cas de panne du réseau téléphonique entrainant une indisponibilité du FAX au niveau EFS.</w:t>
            </w:r>
          </w:p>
        </w:tc>
        <w:tc>
          <w:tcPr>
            <w:tcW w:w="4394" w:type="dxa"/>
            <w:shd w:val="clear" w:color="auto" w:fill="auto"/>
            <w:vAlign w:val="center"/>
          </w:tcPr>
          <w:p w:rsidR="00E04C1D" w:rsidRPr="00B81E78" w:rsidRDefault="00E04C1D" w:rsidP="00B81E78">
            <w:pPr>
              <w:pStyle w:val="Paragraphedeliste"/>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1E78">
              <w:rPr>
                <w:rFonts w:ascii="Arial" w:hAnsi="Arial" w:cs="Arial"/>
                <w:sz w:val="18"/>
                <w:szCs w:val="18"/>
              </w:rPr>
              <w:t xml:space="preserve">A prévoir. Une panne de réseau téléphonique bloque toute utilisation du fax pour communiquer avec EFS. </w:t>
            </w:r>
          </w:p>
          <w:p w:rsidR="00E04C1D" w:rsidRPr="00B81E78" w:rsidRDefault="00E04C1D" w:rsidP="00B81E78">
            <w:pPr>
              <w:pStyle w:val="Paragraphedeliste"/>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1E78">
              <w:rPr>
                <w:rFonts w:ascii="Arial" w:hAnsi="Arial" w:cs="Arial"/>
                <w:sz w:val="18"/>
                <w:szCs w:val="18"/>
              </w:rPr>
              <w:t>A envisager avec EFS</w:t>
            </w:r>
          </w:p>
        </w:tc>
        <w:tc>
          <w:tcPr>
            <w:tcW w:w="1076" w:type="dxa"/>
            <w:shd w:val="clear" w:color="auto" w:fill="auto"/>
            <w:textDirection w:val="btLr"/>
            <w:vAlign w:val="center"/>
          </w:tcPr>
          <w:p w:rsidR="00E04C1D" w:rsidRPr="00B81E78" w:rsidRDefault="00E04C1D" w:rsidP="00B81E78">
            <w:pPr>
              <w:ind w:left="360" w:right="11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1E78">
              <w:rPr>
                <w:rFonts w:ascii="Arial" w:hAnsi="Arial" w:cs="Arial"/>
                <w:sz w:val="18"/>
                <w:szCs w:val="18"/>
              </w:rPr>
              <w:t>Matériel</w:t>
            </w:r>
          </w:p>
        </w:tc>
      </w:tr>
      <w:tr w:rsidR="00E04C1D" w:rsidTr="009A0DF1">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9A0DF1">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Default="00E04C1D" w:rsidP="009A0DF1">
            <w:pPr>
              <w:jc w:val="both"/>
              <w:cnfStyle w:val="000000100000" w:firstRow="0" w:lastRow="0" w:firstColumn="0" w:lastColumn="0" w:oddVBand="0" w:evenVBand="0" w:oddHBand="1" w:evenHBand="0" w:firstRowFirstColumn="0" w:firstRowLastColumn="0" w:lastRowFirstColumn="0" w:lastRowLastColumn="0"/>
              <w:rPr>
                <w:rStyle w:val="lev"/>
                <w:rFonts w:ascii="Arial" w:hAnsi="Arial" w:cs="Arial"/>
                <w:b w:val="0"/>
                <w:sz w:val="18"/>
                <w:szCs w:val="18"/>
              </w:rPr>
            </w:pPr>
            <w:r w:rsidRPr="00EB168F">
              <w:rPr>
                <w:rFonts w:ascii="Arial" w:hAnsi="Arial" w:cs="Arial"/>
                <w:bCs/>
                <w:sz w:val="18"/>
                <w:szCs w:val="18"/>
              </w:rPr>
              <w:t xml:space="preserve">Le dépôt de délivrance n’assure pas un suivi exhaustif de l’habilitation des personnes </w:t>
            </w:r>
            <w:r w:rsidRPr="00EB168F">
              <w:rPr>
                <w:rFonts w:ascii="Arial" w:hAnsi="Arial" w:cs="Arial"/>
                <w:sz w:val="18"/>
                <w:szCs w:val="18"/>
              </w:rPr>
              <w:t>en non-conformité avec l’a</w:t>
            </w:r>
            <w:r w:rsidRPr="00EB168F">
              <w:rPr>
                <w:rStyle w:val="lev"/>
                <w:rFonts w:ascii="Arial" w:hAnsi="Arial" w:cs="Arial"/>
                <w:b w:val="0"/>
                <w:sz w:val="18"/>
                <w:szCs w:val="18"/>
              </w:rPr>
              <w:t xml:space="preserve">rrêté du </w:t>
            </w:r>
            <w:r w:rsidRPr="005D0089">
              <w:rPr>
                <w:rStyle w:val="lev"/>
                <w:rFonts w:ascii="Arial" w:hAnsi="Arial" w:cs="Arial"/>
                <w:b w:val="0"/>
                <w:sz w:val="18"/>
                <w:szCs w:val="18"/>
              </w:rPr>
              <w:t>3 décembre 2007 relatif aux qualifications de certains personnels des dépôts de sang</w:t>
            </w:r>
            <w:r w:rsidRPr="00EB168F">
              <w:rPr>
                <w:rStyle w:val="lev"/>
                <w:rFonts w:ascii="Arial" w:hAnsi="Arial" w:cs="Arial"/>
                <w:b w:val="0"/>
                <w:sz w:val="18"/>
                <w:szCs w:val="18"/>
              </w:rPr>
              <w:t>.</w:t>
            </w:r>
          </w:p>
          <w:p w:rsidR="00E04C1D" w:rsidRPr="005D0089" w:rsidRDefault="00E04C1D" w:rsidP="009A0DF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5D0089">
              <w:rPr>
                <w:rStyle w:val="lev"/>
                <w:rFonts w:ascii="Arial" w:hAnsi="Arial" w:cs="Arial"/>
                <w:b w:val="0"/>
                <w:i/>
                <w:sz w:val="18"/>
                <w:szCs w:val="18"/>
              </w:rPr>
              <w:t>Article 3 de l’arrêté</w:t>
            </w:r>
          </w:p>
        </w:tc>
        <w:tc>
          <w:tcPr>
            <w:tcW w:w="4394" w:type="dxa"/>
            <w:shd w:val="clear" w:color="auto" w:fill="auto"/>
            <w:vAlign w:val="center"/>
          </w:tcPr>
          <w:p w:rsidR="00E04C1D" w:rsidRPr="00900BDF" w:rsidRDefault="00E04C1D" w:rsidP="009A0DF1">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0BDF">
              <w:rPr>
                <w:rFonts w:ascii="Arial" w:hAnsi="Arial" w:cs="Arial"/>
                <w:sz w:val="18"/>
                <w:szCs w:val="18"/>
              </w:rPr>
              <w:t>Mettre en place une solution simple d’habilitation</w:t>
            </w:r>
            <w:r>
              <w:rPr>
                <w:rFonts w:ascii="Arial" w:hAnsi="Arial" w:cs="Arial"/>
                <w:sz w:val="18"/>
                <w:szCs w:val="18"/>
              </w:rPr>
              <w:t xml:space="preserve"> et de suivi</w:t>
            </w:r>
            <w:r w:rsidRPr="00900BDF">
              <w:rPr>
                <w:rFonts w:ascii="Arial" w:hAnsi="Arial" w:cs="Arial"/>
                <w:sz w:val="18"/>
                <w:szCs w:val="18"/>
              </w:rPr>
              <w:t xml:space="preserve"> avec </w:t>
            </w:r>
            <w:r>
              <w:rPr>
                <w:rFonts w:ascii="Arial" w:hAnsi="Arial" w:cs="Arial"/>
                <w:sz w:val="18"/>
                <w:szCs w:val="18"/>
              </w:rPr>
              <w:t>des</w:t>
            </w:r>
            <w:r w:rsidRPr="00900BDF">
              <w:rPr>
                <w:rFonts w:ascii="Arial" w:hAnsi="Arial" w:cs="Arial"/>
                <w:sz w:val="18"/>
                <w:szCs w:val="18"/>
              </w:rPr>
              <w:t xml:space="preserve"> quiz, un tutorat … </w:t>
            </w:r>
          </w:p>
          <w:p w:rsidR="00E04C1D" w:rsidRPr="00900BDF" w:rsidRDefault="00E04C1D" w:rsidP="009A0DF1">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0BDF">
              <w:rPr>
                <w:rFonts w:ascii="Arial" w:hAnsi="Arial" w:cs="Arial"/>
                <w:sz w:val="18"/>
                <w:szCs w:val="18"/>
              </w:rPr>
              <w:t>Assurer que toutes les personnes concernées ont été habilitées. Mettre la date d’habilitation initiale sur la liste des personnes habilitées et les dates de suivi</w:t>
            </w:r>
            <w:r>
              <w:rPr>
                <w:rFonts w:ascii="Arial" w:hAnsi="Arial" w:cs="Arial"/>
                <w:sz w:val="18"/>
                <w:szCs w:val="18"/>
              </w:rPr>
              <w:t>.</w:t>
            </w:r>
          </w:p>
        </w:tc>
        <w:tc>
          <w:tcPr>
            <w:tcW w:w="1076" w:type="dxa"/>
            <w:shd w:val="clear" w:color="auto" w:fill="auto"/>
            <w:textDirection w:val="btLr"/>
            <w:vAlign w:val="center"/>
          </w:tcPr>
          <w:p w:rsidR="00E04C1D" w:rsidRPr="00B32A2C" w:rsidRDefault="00E04C1D" w:rsidP="009A0DF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Personnel</w:t>
            </w:r>
          </w:p>
        </w:tc>
      </w:tr>
      <w:tr w:rsidR="00E04C1D" w:rsidTr="009A0DF1">
        <w:trPr>
          <w:cantSplit/>
          <w:trHeight w:val="158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9A0DF1">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Default="00E04C1D" w:rsidP="009A0DF1">
            <w:pPr>
              <w:jc w:val="both"/>
              <w:cnfStyle w:val="000000000000" w:firstRow="0" w:lastRow="0" w:firstColumn="0" w:lastColumn="0" w:oddVBand="0" w:evenVBand="0" w:oddHBand="0" w:evenHBand="0" w:firstRowFirstColumn="0" w:firstRowLastColumn="0" w:lastRowFirstColumn="0" w:lastRowLastColumn="0"/>
              <w:rPr>
                <w:rStyle w:val="lev"/>
                <w:rFonts w:ascii="Arial" w:hAnsi="Arial" w:cs="Arial"/>
                <w:b w:val="0"/>
                <w:sz w:val="18"/>
                <w:szCs w:val="18"/>
              </w:rPr>
            </w:pPr>
            <w:r w:rsidRPr="00383D01">
              <w:rPr>
                <w:rFonts w:ascii="Arial" w:hAnsi="Arial" w:cs="Arial"/>
                <w:bCs/>
                <w:sz w:val="18"/>
                <w:szCs w:val="18"/>
              </w:rPr>
              <w:t xml:space="preserve">La formation continue n’est pas formalisée pour le personnel intervenant dans le dépôt de délivrance </w:t>
            </w:r>
            <w:r w:rsidRPr="00EB168F">
              <w:rPr>
                <w:rFonts w:ascii="Arial" w:hAnsi="Arial" w:cs="Arial"/>
                <w:sz w:val="18"/>
                <w:szCs w:val="18"/>
              </w:rPr>
              <w:t>en non-conformité avec l’a</w:t>
            </w:r>
            <w:r w:rsidRPr="00EB168F">
              <w:rPr>
                <w:rStyle w:val="lev"/>
                <w:rFonts w:ascii="Arial" w:hAnsi="Arial" w:cs="Arial"/>
                <w:b w:val="0"/>
                <w:sz w:val="18"/>
                <w:szCs w:val="18"/>
              </w:rPr>
              <w:t xml:space="preserve">rrêté du </w:t>
            </w:r>
            <w:r w:rsidRPr="005D0089">
              <w:rPr>
                <w:rStyle w:val="lev"/>
                <w:rFonts w:ascii="Arial" w:hAnsi="Arial" w:cs="Arial"/>
                <w:b w:val="0"/>
                <w:sz w:val="18"/>
                <w:szCs w:val="18"/>
              </w:rPr>
              <w:t>3 décembre 2007 relatif aux qualifications de certains personnels des dépôts de sang</w:t>
            </w:r>
            <w:r w:rsidRPr="00EB168F">
              <w:rPr>
                <w:rStyle w:val="lev"/>
                <w:rFonts w:ascii="Arial" w:hAnsi="Arial" w:cs="Arial"/>
                <w:b w:val="0"/>
                <w:sz w:val="18"/>
                <w:szCs w:val="18"/>
              </w:rPr>
              <w:t>.</w:t>
            </w:r>
          </w:p>
          <w:p w:rsidR="00E04C1D" w:rsidRPr="00383D01" w:rsidRDefault="00E04C1D" w:rsidP="009A0DF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5D0089">
              <w:rPr>
                <w:rStyle w:val="lev"/>
                <w:rFonts w:ascii="Arial" w:hAnsi="Arial" w:cs="Arial"/>
                <w:b w:val="0"/>
                <w:i/>
                <w:sz w:val="18"/>
                <w:szCs w:val="18"/>
              </w:rPr>
              <w:t>Article 3 de l’arrêté</w:t>
            </w:r>
            <w:r w:rsidRPr="00383D01">
              <w:rPr>
                <w:rFonts w:ascii="Arial" w:hAnsi="Arial" w:cs="Arial"/>
                <w:bCs/>
                <w:color w:val="FF0000"/>
                <w:sz w:val="18"/>
                <w:szCs w:val="18"/>
              </w:rPr>
              <w:t xml:space="preserve"> </w:t>
            </w:r>
          </w:p>
        </w:tc>
        <w:tc>
          <w:tcPr>
            <w:tcW w:w="4394" w:type="dxa"/>
            <w:shd w:val="clear" w:color="auto" w:fill="auto"/>
            <w:vAlign w:val="center"/>
          </w:tcPr>
          <w:p w:rsidR="00E04C1D" w:rsidRPr="00784C33" w:rsidRDefault="00E04C1D" w:rsidP="009A0DF1">
            <w:pPr>
              <w:pStyle w:val="Paragraphedeliste"/>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4C33">
              <w:rPr>
                <w:rFonts w:ascii="Arial" w:hAnsi="Arial" w:cs="Arial"/>
                <w:sz w:val="18"/>
                <w:szCs w:val="18"/>
              </w:rPr>
              <w:t>Prévoir un programme simple de formation continue</w:t>
            </w:r>
          </w:p>
          <w:p w:rsidR="00E04C1D" w:rsidRPr="00784C33" w:rsidRDefault="00E04C1D" w:rsidP="009A0DF1">
            <w:pPr>
              <w:pStyle w:val="Paragraphedeliste"/>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4C33">
              <w:rPr>
                <w:rFonts w:ascii="Arial" w:hAnsi="Arial" w:cs="Arial"/>
                <w:sz w:val="18"/>
                <w:szCs w:val="18"/>
              </w:rPr>
              <w:t>Etablir un plan de formation prévisionnel</w:t>
            </w:r>
          </w:p>
          <w:p w:rsidR="00E04C1D" w:rsidRPr="00784C33" w:rsidRDefault="00E04C1D" w:rsidP="009A0DF1">
            <w:pPr>
              <w:pStyle w:val="Paragraphedeliste"/>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4C33">
              <w:rPr>
                <w:rFonts w:ascii="Arial" w:hAnsi="Arial" w:cs="Arial"/>
                <w:sz w:val="18"/>
                <w:szCs w:val="18"/>
              </w:rPr>
              <w:t>Vérifier au fil du temps la réalisation du programme</w:t>
            </w:r>
          </w:p>
        </w:tc>
        <w:tc>
          <w:tcPr>
            <w:tcW w:w="1076" w:type="dxa"/>
            <w:shd w:val="clear" w:color="auto" w:fill="auto"/>
            <w:textDirection w:val="btLr"/>
            <w:vAlign w:val="center"/>
          </w:tcPr>
          <w:p w:rsidR="00E04C1D" w:rsidRPr="00784C33" w:rsidRDefault="00E04C1D" w:rsidP="009A0DF1">
            <w:pPr>
              <w:pStyle w:val="Paragraphedeliste"/>
              <w:ind w:left="473" w:right="11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Personnel</w:t>
            </w:r>
          </w:p>
        </w:tc>
      </w:tr>
      <w:tr w:rsidR="00E04C1D" w:rsidTr="00920BF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lastRenderedPageBreak/>
              <w:t>E</w:t>
            </w:r>
          </w:p>
        </w:tc>
        <w:tc>
          <w:tcPr>
            <w:tcW w:w="4678" w:type="dxa"/>
            <w:shd w:val="clear" w:color="auto" w:fill="auto"/>
            <w:vAlign w:val="center"/>
          </w:tcPr>
          <w:p w:rsidR="00E04C1D" w:rsidRPr="00D602E4" w:rsidRDefault="00E04C1D" w:rsidP="000867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02E4">
              <w:rPr>
                <w:rFonts w:ascii="Arial" w:hAnsi="Arial" w:cs="Arial"/>
                <w:bCs/>
                <w:sz w:val="18"/>
                <w:szCs w:val="18"/>
              </w:rPr>
              <w:t xml:space="preserve">Parmi le personnel du dépôt, </w:t>
            </w:r>
            <w:r>
              <w:rPr>
                <w:rFonts w:ascii="Arial" w:hAnsi="Arial" w:cs="Arial"/>
                <w:bCs/>
                <w:sz w:val="18"/>
                <w:szCs w:val="18"/>
              </w:rPr>
              <w:t xml:space="preserve">il n’existe pas de </w:t>
            </w:r>
            <w:r w:rsidRPr="00D602E4">
              <w:rPr>
                <w:rFonts w:ascii="Arial" w:hAnsi="Arial" w:cs="Arial"/>
                <w:bCs/>
                <w:sz w:val="18"/>
                <w:szCs w:val="18"/>
              </w:rPr>
              <w:t>p</w:t>
            </w:r>
            <w:r>
              <w:rPr>
                <w:rFonts w:ascii="Arial" w:hAnsi="Arial" w:cs="Arial"/>
                <w:bCs/>
                <w:sz w:val="18"/>
                <w:szCs w:val="18"/>
              </w:rPr>
              <w:t xml:space="preserve">ersonne </w:t>
            </w:r>
            <w:r w:rsidRPr="00D602E4">
              <w:rPr>
                <w:rFonts w:ascii="Arial" w:hAnsi="Arial" w:cs="Arial"/>
                <w:bCs/>
                <w:sz w:val="18"/>
                <w:szCs w:val="18"/>
              </w:rPr>
              <w:t xml:space="preserve">identifiée pour suivre spécifiquement la qualité des transports (colisage, délais, prestataire, transports locaux…) </w:t>
            </w:r>
            <w:r w:rsidRPr="00D602E4">
              <w:rPr>
                <w:rFonts w:ascii="Arial" w:hAnsi="Arial" w:cs="Arial"/>
                <w:sz w:val="18"/>
                <w:szCs w:val="18"/>
              </w:rPr>
              <w:t>en non-conformité</w:t>
            </w:r>
            <w:r w:rsidRPr="00D602E4">
              <w:rPr>
                <w:rStyle w:val="lev"/>
                <w:rFonts w:ascii="Arial" w:hAnsi="Arial" w:cs="Arial"/>
                <w:sz w:val="18"/>
                <w:szCs w:val="18"/>
              </w:rPr>
              <w:t xml:space="preserve"> </w:t>
            </w:r>
            <w:r w:rsidRPr="00D602E4">
              <w:rPr>
                <w:rStyle w:val="lev"/>
                <w:rFonts w:ascii="Arial" w:hAnsi="Arial" w:cs="Arial"/>
                <w:b w:val="0"/>
                <w:sz w:val="18"/>
                <w:szCs w:val="18"/>
              </w:rPr>
              <w:t xml:space="preserve">avec la </w:t>
            </w:r>
            <w:r w:rsidR="00F24C87">
              <w:rPr>
                <w:rStyle w:val="lev"/>
                <w:rFonts w:ascii="Arial" w:hAnsi="Arial" w:cs="Arial"/>
                <w:b w:val="0"/>
                <w:sz w:val="18"/>
                <w:szCs w:val="18"/>
              </w:rPr>
              <w:t>décision</w:t>
            </w:r>
            <w:r w:rsidRPr="00D602E4">
              <w:rPr>
                <w:rFonts w:ascii="Arial" w:hAnsi="Arial" w:cs="Arial"/>
                <w:sz w:val="18"/>
                <w:szCs w:val="18"/>
              </w:rPr>
              <w:t xml:space="preserve"> du 10 Juillet 2018 définissant les principes de bonnes pratiques prévus à l’article L.1222.12 du code de santé publique.</w:t>
            </w:r>
          </w:p>
          <w:p w:rsidR="00E04C1D" w:rsidRPr="005D0089" w:rsidRDefault="00E04C1D" w:rsidP="000867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sidRPr="005D0089">
              <w:rPr>
                <w:rFonts w:ascii="Arial" w:hAnsi="Arial" w:cs="Arial"/>
                <w:bCs/>
                <w:i/>
                <w:sz w:val="18"/>
                <w:szCs w:val="18"/>
              </w:rPr>
              <w:t>Ligne directrice relative au stockage, au transport et à la conservation des prélèvements, des tubes échantillons et des produits sanguins labiles (</w:t>
            </w:r>
            <w:r>
              <w:rPr>
                <w:rFonts w:ascii="Arial" w:hAnsi="Arial" w:cs="Arial"/>
                <w:bCs/>
                <w:i/>
                <w:sz w:val="18"/>
                <w:szCs w:val="18"/>
              </w:rPr>
              <w:t>I.</w:t>
            </w:r>
            <w:r>
              <w:rPr>
                <w:rFonts w:ascii="Arial" w:hAnsi="Arial" w:cs="Arial"/>
                <w:i/>
                <w:sz w:val="18"/>
                <w:szCs w:val="18"/>
              </w:rPr>
              <w:t>2.4.a – I.2.5</w:t>
            </w:r>
            <w:r w:rsidRPr="005D0089">
              <w:rPr>
                <w:rFonts w:ascii="Arial" w:hAnsi="Arial" w:cs="Arial"/>
                <w:i/>
                <w:sz w:val="18"/>
                <w:szCs w:val="18"/>
              </w:rPr>
              <w:t>).</w:t>
            </w:r>
          </w:p>
        </w:tc>
        <w:tc>
          <w:tcPr>
            <w:tcW w:w="4394" w:type="dxa"/>
            <w:shd w:val="clear" w:color="auto" w:fill="auto"/>
            <w:vAlign w:val="center"/>
          </w:tcPr>
          <w:p w:rsidR="00E04C1D" w:rsidRPr="00900BDF" w:rsidRDefault="00E04C1D" w:rsidP="00900BDF">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0BDF">
              <w:rPr>
                <w:rFonts w:ascii="Arial" w:hAnsi="Arial" w:cs="Arial"/>
                <w:sz w:val="18"/>
                <w:szCs w:val="18"/>
              </w:rPr>
              <w:t xml:space="preserve">Ajouter les missions décrites au chapitre des bonnes pratiques (voir à côté) à une des fiches de fonctions existante: responsable ou gestionnaire, dans un chapitre transport par exemple </w:t>
            </w:r>
          </w:p>
          <w:p w:rsidR="00E04C1D" w:rsidRPr="00900BDF" w:rsidRDefault="00E04C1D" w:rsidP="00900BDF">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0BDF">
              <w:rPr>
                <w:rFonts w:ascii="Arial" w:hAnsi="Arial" w:cs="Arial"/>
                <w:sz w:val="18"/>
                <w:szCs w:val="18"/>
              </w:rPr>
              <w:t>ou le définir pour une autre personne en lui donnant une fiche de fonction spécifique.</w:t>
            </w:r>
          </w:p>
        </w:tc>
        <w:tc>
          <w:tcPr>
            <w:tcW w:w="1076" w:type="dxa"/>
            <w:shd w:val="clear" w:color="auto" w:fill="auto"/>
            <w:textDirection w:val="btLr"/>
            <w:vAlign w:val="center"/>
          </w:tcPr>
          <w:p w:rsidR="00E04C1D" w:rsidRPr="00900BDF" w:rsidRDefault="00E04C1D" w:rsidP="00B32A2C">
            <w:pPr>
              <w:pStyle w:val="Paragraphedeliste"/>
              <w:ind w:left="360"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Personnel</w:t>
            </w:r>
          </w:p>
        </w:tc>
      </w:tr>
      <w:tr w:rsidR="00E04C1D" w:rsidTr="00920BF4">
        <w:trPr>
          <w:cantSplit/>
          <w:trHeight w:val="113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R</w:t>
            </w:r>
          </w:p>
        </w:tc>
        <w:tc>
          <w:tcPr>
            <w:tcW w:w="4678" w:type="dxa"/>
            <w:shd w:val="clear" w:color="auto" w:fill="auto"/>
            <w:vAlign w:val="center"/>
          </w:tcPr>
          <w:p w:rsidR="00E04C1D" w:rsidRPr="00CA28A4" w:rsidRDefault="00E04C1D" w:rsidP="00CA28A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A28A4">
              <w:rPr>
                <w:rFonts w:ascii="Arial" w:hAnsi="Arial" w:cs="Arial"/>
                <w:bCs/>
                <w:sz w:val="18"/>
                <w:szCs w:val="18"/>
              </w:rPr>
              <w:t>Le dépôt ne peut pas prouver que toutes les personnes concernées ont été habilitées pour leurs missions au sein du dépôt d’urgence vitale</w:t>
            </w:r>
          </w:p>
        </w:tc>
        <w:tc>
          <w:tcPr>
            <w:tcW w:w="4394" w:type="dxa"/>
            <w:shd w:val="clear" w:color="auto" w:fill="auto"/>
            <w:vAlign w:val="center"/>
          </w:tcPr>
          <w:p w:rsidR="00E04C1D" w:rsidRPr="00C76B7E" w:rsidRDefault="00E04C1D" w:rsidP="00C76B7E">
            <w:pPr>
              <w:pStyle w:val="Paragraphedeliste"/>
              <w:numPr>
                <w:ilvl w:val="0"/>
                <w:numId w:val="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76B7E">
              <w:rPr>
                <w:rFonts w:ascii="Arial" w:hAnsi="Arial" w:cs="Arial"/>
                <w:sz w:val="18"/>
                <w:szCs w:val="18"/>
              </w:rPr>
              <w:t xml:space="preserve">Mettre en place une solution simple d’habilitation et de suivi avec des quiz, un tutorat … </w:t>
            </w:r>
          </w:p>
          <w:p w:rsidR="00E04C1D" w:rsidRPr="00C76B7E" w:rsidRDefault="00E04C1D" w:rsidP="00C76B7E">
            <w:pPr>
              <w:pStyle w:val="Paragraphedeliste"/>
              <w:numPr>
                <w:ilvl w:val="0"/>
                <w:numId w:val="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76B7E">
              <w:rPr>
                <w:rFonts w:ascii="Arial" w:hAnsi="Arial" w:cs="Arial"/>
                <w:sz w:val="18"/>
                <w:szCs w:val="18"/>
              </w:rPr>
              <w:t>Assurer que toutes les personnes concernées ont été habilitées. Mettre la date d’habilitation initiale sur la liste des personnes habilitées et les dates de suivi.</w:t>
            </w:r>
          </w:p>
        </w:tc>
        <w:tc>
          <w:tcPr>
            <w:tcW w:w="1076" w:type="dxa"/>
            <w:shd w:val="clear" w:color="auto" w:fill="auto"/>
            <w:textDirection w:val="btLr"/>
            <w:vAlign w:val="center"/>
          </w:tcPr>
          <w:p w:rsidR="00E04C1D" w:rsidRPr="00AF6173" w:rsidRDefault="00E04C1D" w:rsidP="00AF617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F6173">
              <w:rPr>
                <w:rFonts w:ascii="Arial" w:hAnsi="Arial" w:cs="Arial"/>
                <w:sz w:val="18"/>
                <w:szCs w:val="18"/>
              </w:rPr>
              <w:t>Personnel</w:t>
            </w:r>
          </w:p>
        </w:tc>
      </w:tr>
      <w:tr w:rsidR="00E04C1D" w:rsidTr="00920BF4">
        <w:trPr>
          <w:cnfStyle w:val="000000100000" w:firstRow="0" w:lastRow="0" w:firstColumn="0" w:lastColumn="0" w:oddVBand="0" w:evenVBand="0" w:oddHBand="1" w:evenHBand="0" w:firstRowFirstColumn="0" w:firstRowLastColumn="0" w:lastRowFirstColumn="0" w:lastRowLastColumn="0"/>
          <w:cantSplit/>
          <w:trHeight w:val="1928"/>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R</w:t>
            </w:r>
          </w:p>
        </w:tc>
        <w:tc>
          <w:tcPr>
            <w:tcW w:w="4678" w:type="dxa"/>
            <w:shd w:val="clear" w:color="auto" w:fill="auto"/>
            <w:vAlign w:val="center"/>
          </w:tcPr>
          <w:p w:rsidR="00E04C1D" w:rsidRPr="00CA28A4" w:rsidRDefault="00E04C1D" w:rsidP="00CA28A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A28A4">
              <w:rPr>
                <w:rFonts w:ascii="Arial" w:hAnsi="Arial" w:cs="Arial"/>
                <w:bCs/>
                <w:sz w:val="18"/>
                <w:szCs w:val="18"/>
              </w:rPr>
              <w:t>Le dépôt n’a pas formalisé la méthode et la programmation du suivi des habilitations pour les personnes concer</w:t>
            </w:r>
            <w:r w:rsidR="00F24C87">
              <w:rPr>
                <w:rFonts w:ascii="Arial" w:hAnsi="Arial" w:cs="Arial"/>
                <w:bCs/>
                <w:sz w:val="18"/>
                <w:szCs w:val="18"/>
              </w:rPr>
              <w:t xml:space="preserve">nées par l’utilisation du dépôt </w:t>
            </w:r>
            <w:r w:rsidRPr="00CA28A4">
              <w:rPr>
                <w:rFonts w:ascii="Arial" w:hAnsi="Arial" w:cs="Arial"/>
                <w:bCs/>
                <w:sz w:val="18"/>
                <w:szCs w:val="18"/>
              </w:rPr>
              <w:t>d’urgence vitale</w:t>
            </w:r>
          </w:p>
        </w:tc>
        <w:tc>
          <w:tcPr>
            <w:tcW w:w="4394" w:type="dxa"/>
            <w:shd w:val="clear" w:color="auto" w:fill="auto"/>
            <w:vAlign w:val="center"/>
          </w:tcPr>
          <w:p w:rsidR="00E04C1D" w:rsidRPr="00C76B7E" w:rsidRDefault="00E04C1D" w:rsidP="00C76B7E">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76B7E">
              <w:rPr>
                <w:rFonts w:ascii="Arial" w:hAnsi="Arial" w:cs="Arial"/>
                <w:sz w:val="18"/>
                <w:szCs w:val="18"/>
              </w:rPr>
              <w:t xml:space="preserve">Mettre en place une solution simple d’habilitation et de suivi avec des quiz, un tutorat … </w:t>
            </w:r>
          </w:p>
          <w:p w:rsidR="00E04C1D" w:rsidRPr="00C76B7E" w:rsidRDefault="00E04C1D" w:rsidP="00C76B7E">
            <w:pPr>
              <w:pStyle w:val="Paragraphedeliste"/>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76B7E">
              <w:rPr>
                <w:rFonts w:ascii="Arial" w:hAnsi="Arial" w:cs="Arial"/>
                <w:sz w:val="18"/>
                <w:szCs w:val="18"/>
              </w:rPr>
              <w:t>Assurer que toutes les personnes concernées ont été habilitées. Mettre la date d’habilitation initiale sur la liste des personnes habilitées et les dates de suivi.</w:t>
            </w:r>
          </w:p>
        </w:tc>
        <w:tc>
          <w:tcPr>
            <w:tcW w:w="1076" w:type="dxa"/>
            <w:shd w:val="clear" w:color="auto" w:fill="auto"/>
            <w:textDirection w:val="btLr"/>
            <w:vAlign w:val="center"/>
          </w:tcPr>
          <w:p w:rsidR="00E04C1D" w:rsidRPr="00AF6173" w:rsidRDefault="00E04C1D" w:rsidP="00AF6173">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Personnel</w:t>
            </w:r>
          </w:p>
        </w:tc>
      </w:tr>
      <w:tr w:rsidR="00E04C1D" w:rsidTr="00920BF4">
        <w:trPr>
          <w:cantSplit/>
          <w:trHeight w:val="113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E</w:t>
            </w:r>
          </w:p>
        </w:tc>
        <w:tc>
          <w:tcPr>
            <w:tcW w:w="4678" w:type="dxa"/>
            <w:shd w:val="clear" w:color="auto" w:fill="auto"/>
            <w:vAlign w:val="center"/>
          </w:tcPr>
          <w:p w:rsidR="00E04C1D" w:rsidRPr="009675A5" w:rsidRDefault="00E04C1D" w:rsidP="009675A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75A5">
              <w:rPr>
                <w:rFonts w:ascii="Arial" w:hAnsi="Arial" w:cs="Arial"/>
                <w:sz w:val="18"/>
                <w:szCs w:val="18"/>
              </w:rPr>
              <w:t>le personnel du dépôt ne réalise pas de contrôle formalisé et régulier des véhicules et de la prestation de son transporteur.</w:t>
            </w:r>
            <w:r w:rsidRPr="009675A5">
              <w:rPr>
                <w:rFonts w:ascii="Arial" w:hAnsi="Arial" w:cs="Arial"/>
                <w:bCs/>
                <w:sz w:val="18"/>
                <w:szCs w:val="18"/>
              </w:rPr>
              <w:t xml:space="preserve"> en opposition à la </w:t>
            </w:r>
            <w:r w:rsidR="00F24C87">
              <w:rPr>
                <w:rFonts w:ascii="Arial" w:hAnsi="Arial" w:cs="Arial"/>
                <w:sz w:val="18"/>
                <w:szCs w:val="18"/>
              </w:rPr>
              <w:t>Décision</w:t>
            </w:r>
            <w:r w:rsidRPr="009675A5">
              <w:rPr>
                <w:rFonts w:ascii="Arial" w:hAnsi="Arial" w:cs="Arial"/>
                <w:sz w:val="18"/>
                <w:szCs w:val="18"/>
              </w:rPr>
              <w:t xml:space="preserve"> du 10 Juillet 2018 définissant les principes de bonnes pratiques prévus à l’article L.1222.12 du code de santé publique.</w:t>
            </w:r>
          </w:p>
          <w:p w:rsidR="00E04C1D" w:rsidRDefault="00E04C1D" w:rsidP="009675A5">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9675A5">
              <w:rPr>
                <w:rFonts w:ascii="Arial" w:hAnsi="Arial" w:cs="Arial"/>
                <w:bCs/>
                <w:i/>
                <w:sz w:val="18"/>
                <w:szCs w:val="18"/>
              </w:rPr>
              <w:t xml:space="preserve">Ligne directrice relative au stockage, au transport et à la conservation des prélèvements, des tubes échantillons et des produits sanguins labiles </w:t>
            </w:r>
            <w:r w:rsidRPr="009675A5">
              <w:rPr>
                <w:rFonts w:ascii="Arial" w:hAnsi="Arial" w:cs="Arial"/>
                <w:i/>
                <w:sz w:val="18"/>
                <w:szCs w:val="18"/>
              </w:rPr>
              <w:t>(I.2.4.a.)</w:t>
            </w:r>
          </w:p>
          <w:p w:rsidR="00E04C1D" w:rsidRPr="009675A5" w:rsidRDefault="00E04C1D" w:rsidP="007B714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2F64">
              <w:rPr>
                <w:rFonts w:ascii="Arial" w:hAnsi="Arial" w:cs="Arial"/>
                <w:bCs/>
                <w:i/>
                <w:sz w:val="18"/>
                <w:szCs w:val="18"/>
              </w:rPr>
              <w:t>Principes de bonnes pratiques transfusionnelles pour les établissements de transfusion sanguine et les dépôts de sang (</w:t>
            </w:r>
            <w:r>
              <w:rPr>
                <w:rFonts w:ascii="Arial" w:hAnsi="Arial" w:cs="Arial"/>
                <w:i/>
                <w:sz w:val="18"/>
                <w:szCs w:val="18"/>
              </w:rPr>
              <w:t>4.7.1.2.6.</w:t>
            </w:r>
            <w:r w:rsidRPr="00D62F64">
              <w:rPr>
                <w:rFonts w:ascii="Arial" w:hAnsi="Arial" w:cs="Arial"/>
                <w:i/>
                <w:sz w:val="18"/>
                <w:szCs w:val="18"/>
              </w:rPr>
              <w:t>).</w:t>
            </w:r>
          </w:p>
        </w:tc>
        <w:tc>
          <w:tcPr>
            <w:tcW w:w="4394" w:type="dxa"/>
            <w:shd w:val="clear" w:color="auto" w:fill="auto"/>
            <w:vAlign w:val="center"/>
          </w:tcPr>
          <w:p w:rsidR="00E04C1D" w:rsidRPr="009675A5" w:rsidRDefault="00E04C1D" w:rsidP="009675A5">
            <w:pPr>
              <w:pStyle w:val="Paragraphedeliste"/>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75A5">
              <w:rPr>
                <w:rFonts w:ascii="Arial" w:hAnsi="Arial" w:cs="Arial"/>
                <w:sz w:val="18"/>
                <w:szCs w:val="18"/>
              </w:rPr>
              <w:t>Prévoir une grille d’audit du transport à réaliser sur les transports réalisés par l’établissement et également par le prestataire.</w:t>
            </w:r>
          </w:p>
          <w:p w:rsidR="00E04C1D" w:rsidRPr="009675A5" w:rsidRDefault="00E04C1D" w:rsidP="009675A5">
            <w:pPr>
              <w:pStyle w:val="Paragraphedeliste"/>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75A5">
              <w:rPr>
                <w:rFonts w:ascii="Arial" w:hAnsi="Arial" w:cs="Arial"/>
                <w:sz w:val="18"/>
                <w:szCs w:val="18"/>
              </w:rPr>
              <w:t>La convention avec le prestataire précise qu’il doit accepter les audits de la part du personnel du dépôt</w:t>
            </w:r>
          </w:p>
        </w:tc>
        <w:tc>
          <w:tcPr>
            <w:tcW w:w="1076" w:type="dxa"/>
            <w:shd w:val="clear" w:color="auto" w:fill="auto"/>
            <w:textDirection w:val="btLr"/>
            <w:vAlign w:val="center"/>
          </w:tcPr>
          <w:p w:rsidR="00E04C1D" w:rsidRPr="009675A5" w:rsidRDefault="00E04C1D" w:rsidP="00AF6173">
            <w:pPr>
              <w:pStyle w:val="Paragraphedeliste"/>
              <w:ind w:left="47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04C1D" w:rsidTr="00920BF4">
        <w:trPr>
          <w:cnfStyle w:val="000000100000" w:firstRow="0" w:lastRow="0" w:firstColumn="0" w:lastColumn="0" w:oddVBand="0" w:evenVBand="0" w:oddHBand="1" w:evenHBand="0" w:firstRowFirstColumn="0" w:firstRowLastColumn="0" w:lastRowFirstColumn="0" w:lastRowLastColumn="0"/>
          <w:cantSplit/>
          <w:trHeight w:val="2665"/>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E</w:t>
            </w:r>
          </w:p>
        </w:tc>
        <w:tc>
          <w:tcPr>
            <w:tcW w:w="4678" w:type="dxa"/>
            <w:shd w:val="clear" w:color="auto" w:fill="auto"/>
            <w:vAlign w:val="center"/>
          </w:tcPr>
          <w:p w:rsidR="00E04C1D" w:rsidRPr="009675A5" w:rsidRDefault="00E04C1D" w:rsidP="000C0C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75A5">
              <w:rPr>
                <w:rFonts w:ascii="Arial" w:hAnsi="Arial" w:cs="Arial"/>
                <w:bCs/>
                <w:sz w:val="18"/>
                <w:szCs w:val="18"/>
              </w:rPr>
              <w:t xml:space="preserve">Il n’existe pas, au sein du dépôt, de document prouvant la qualification de la méthode de transport des produits sanguins qui est utilisée pour le retour des concentrés globulaires vers l’EFS en opposition à la </w:t>
            </w:r>
            <w:r w:rsidR="00F24C87">
              <w:rPr>
                <w:rFonts w:ascii="Arial" w:hAnsi="Arial" w:cs="Arial"/>
                <w:sz w:val="18"/>
                <w:szCs w:val="18"/>
              </w:rPr>
              <w:t>Décision</w:t>
            </w:r>
            <w:r w:rsidRPr="009675A5">
              <w:rPr>
                <w:rFonts w:ascii="Arial" w:hAnsi="Arial" w:cs="Arial"/>
                <w:sz w:val="18"/>
                <w:szCs w:val="18"/>
              </w:rPr>
              <w:t xml:space="preserve"> du 10 Juillet 2018 définissant les principes de bonnes pratiques prévus à l’article L.1222.12 du code de santé publique.</w:t>
            </w:r>
          </w:p>
          <w:p w:rsidR="00E04C1D" w:rsidRPr="009675A5" w:rsidRDefault="00E04C1D" w:rsidP="000C0C99">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675A5">
              <w:rPr>
                <w:rFonts w:ascii="Arial" w:hAnsi="Arial" w:cs="Arial"/>
                <w:bCs/>
                <w:i/>
                <w:sz w:val="18"/>
                <w:szCs w:val="18"/>
              </w:rPr>
              <w:t>Ligne directrice relative au stockage, au transport et à la conservation des prélèvements, des tubes échantillons et des produits sanguins labiles (</w:t>
            </w:r>
            <w:r w:rsidRPr="009675A5">
              <w:rPr>
                <w:rFonts w:ascii="Arial" w:hAnsi="Arial" w:cs="Arial"/>
                <w:i/>
                <w:sz w:val="18"/>
                <w:szCs w:val="18"/>
              </w:rPr>
              <w:t>I.2.7. – I.2.8.f.).</w:t>
            </w:r>
          </w:p>
        </w:tc>
        <w:tc>
          <w:tcPr>
            <w:tcW w:w="4394" w:type="dxa"/>
            <w:shd w:val="clear" w:color="auto" w:fill="auto"/>
            <w:vAlign w:val="center"/>
          </w:tcPr>
          <w:p w:rsidR="00E04C1D" w:rsidRPr="009675A5" w:rsidRDefault="00E04C1D" w:rsidP="000C0C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75A5">
              <w:rPr>
                <w:rFonts w:ascii="Arial" w:hAnsi="Arial" w:cs="Arial"/>
                <w:sz w:val="18"/>
                <w:szCs w:val="18"/>
              </w:rPr>
              <w:t>C’est celui qui envoie les produits qui est responsable de la qualité du transport. Le dépôt est donc responsable du transport lorsqu’il retourne des produits vers l’EFS dans le but d’une reprise pour réutilisation. La méthode de conditionnement doit être formalisée et validée.</w:t>
            </w:r>
          </w:p>
          <w:p w:rsidR="00E04C1D" w:rsidRPr="009675A5" w:rsidRDefault="00E04C1D" w:rsidP="007018EE">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75A5">
              <w:rPr>
                <w:rFonts w:ascii="Arial" w:hAnsi="Arial" w:cs="Arial"/>
                <w:sz w:val="18"/>
                <w:szCs w:val="18"/>
              </w:rPr>
              <w:t>Demander la qualification des modalités de conditionnement du transport et le garder dans le dépôt</w:t>
            </w:r>
          </w:p>
          <w:p w:rsidR="00E04C1D" w:rsidRPr="009675A5" w:rsidRDefault="00E04C1D" w:rsidP="007018EE">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75A5">
              <w:rPr>
                <w:rFonts w:ascii="Arial" w:hAnsi="Arial" w:cs="Arial"/>
                <w:sz w:val="18"/>
                <w:szCs w:val="18"/>
              </w:rPr>
              <w:t>Respecter la méthode</w:t>
            </w:r>
          </w:p>
        </w:tc>
        <w:tc>
          <w:tcPr>
            <w:tcW w:w="1076" w:type="dxa"/>
            <w:shd w:val="clear" w:color="auto" w:fill="auto"/>
            <w:textDirection w:val="btLr"/>
            <w:vAlign w:val="center"/>
          </w:tcPr>
          <w:p w:rsidR="00E04C1D" w:rsidRPr="009675A5" w:rsidRDefault="00E04C1D"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04C1D" w:rsidTr="00920BF4">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E</w:t>
            </w:r>
          </w:p>
        </w:tc>
        <w:tc>
          <w:tcPr>
            <w:tcW w:w="4678" w:type="dxa"/>
            <w:shd w:val="clear" w:color="auto" w:fill="auto"/>
            <w:vAlign w:val="center"/>
          </w:tcPr>
          <w:p w:rsidR="00E04C1D" w:rsidRPr="007018EE" w:rsidRDefault="00E04C1D" w:rsidP="007018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18EE">
              <w:rPr>
                <w:rFonts w:ascii="Arial" w:hAnsi="Arial" w:cs="Arial"/>
                <w:sz w:val="18"/>
                <w:szCs w:val="18"/>
              </w:rPr>
              <w:t xml:space="preserve">Il n’existe pas de convention entre l’établissement de soins, et le prestataire qui assure les transports de PSL </w:t>
            </w:r>
            <w:r w:rsidRPr="007018EE">
              <w:rPr>
                <w:rFonts w:ascii="Arial" w:hAnsi="Arial" w:cs="Arial"/>
                <w:bCs/>
                <w:sz w:val="18"/>
                <w:szCs w:val="18"/>
              </w:rPr>
              <w:t xml:space="preserve">en opposition à la </w:t>
            </w:r>
            <w:r w:rsidR="00F24C87">
              <w:rPr>
                <w:rFonts w:ascii="Arial" w:hAnsi="Arial" w:cs="Arial"/>
                <w:sz w:val="18"/>
                <w:szCs w:val="18"/>
              </w:rPr>
              <w:t>Décision</w:t>
            </w:r>
            <w:r w:rsidRPr="007018EE">
              <w:rPr>
                <w:rFonts w:ascii="Arial" w:hAnsi="Arial" w:cs="Arial"/>
                <w:sz w:val="18"/>
                <w:szCs w:val="18"/>
              </w:rPr>
              <w:t xml:space="preserve"> du 10 Juillet 2018 définissant les principes de bonnes pratiques prévus à l’article L.1222.12 du code de santé publique.</w:t>
            </w:r>
          </w:p>
          <w:p w:rsidR="00E04C1D" w:rsidRPr="003C29B2" w:rsidRDefault="00E04C1D" w:rsidP="007018E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018EE">
              <w:rPr>
                <w:rFonts w:ascii="Arial" w:hAnsi="Arial" w:cs="Arial"/>
                <w:bCs/>
                <w:i/>
                <w:sz w:val="18"/>
                <w:szCs w:val="18"/>
              </w:rPr>
              <w:t xml:space="preserve">Ligne directrice relative au stockage, au transport et à la conservation des prélèvements, des tubes échantillons et des produits sanguins labiles </w:t>
            </w:r>
            <w:r w:rsidRPr="007018EE">
              <w:rPr>
                <w:rFonts w:ascii="Arial" w:hAnsi="Arial" w:cs="Arial"/>
                <w:i/>
                <w:sz w:val="18"/>
                <w:szCs w:val="18"/>
              </w:rPr>
              <w:t>(I.2.3.c.)</w:t>
            </w:r>
          </w:p>
        </w:tc>
        <w:tc>
          <w:tcPr>
            <w:tcW w:w="4394" w:type="dxa"/>
            <w:shd w:val="clear" w:color="auto" w:fill="auto"/>
            <w:vAlign w:val="center"/>
          </w:tcPr>
          <w:p w:rsidR="00E04C1D" w:rsidRPr="007018EE" w:rsidRDefault="00E04C1D" w:rsidP="007018EE">
            <w:pPr>
              <w:pStyle w:val="Paragraphedeliste"/>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18EE">
              <w:rPr>
                <w:rFonts w:ascii="Arial" w:hAnsi="Arial" w:cs="Arial"/>
                <w:sz w:val="18"/>
                <w:szCs w:val="18"/>
              </w:rPr>
              <w:t>Etablir une convention</w:t>
            </w:r>
          </w:p>
          <w:p w:rsidR="00E04C1D" w:rsidRPr="007018EE" w:rsidRDefault="00E04C1D" w:rsidP="007018EE">
            <w:pPr>
              <w:pStyle w:val="Paragraphedeliste"/>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018EE">
              <w:rPr>
                <w:rFonts w:ascii="Arial" w:hAnsi="Arial" w:cs="Arial"/>
                <w:sz w:val="18"/>
                <w:szCs w:val="18"/>
              </w:rPr>
              <w:t xml:space="preserve">Reprendre les items détaillés dans la </w:t>
            </w:r>
            <w:r w:rsidR="00F24C87">
              <w:rPr>
                <w:rFonts w:ascii="Arial" w:hAnsi="Arial" w:cs="Arial"/>
                <w:sz w:val="18"/>
                <w:szCs w:val="18"/>
              </w:rPr>
              <w:t>décision</w:t>
            </w:r>
            <w:r w:rsidRPr="007018EE">
              <w:rPr>
                <w:rFonts w:ascii="Arial" w:hAnsi="Arial" w:cs="Arial"/>
                <w:sz w:val="18"/>
                <w:szCs w:val="18"/>
              </w:rPr>
              <w:t xml:space="preserve"> du 10 juillet 2018</w:t>
            </w:r>
          </w:p>
        </w:tc>
        <w:tc>
          <w:tcPr>
            <w:tcW w:w="1076" w:type="dxa"/>
            <w:shd w:val="clear" w:color="auto" w:fill="auto"/>
            <w:textDirection w:val="btLr"/>
            <w:vAlign w:val="center"/>
          </w:tcPr>
          <w:p w:rsidR="00E04C1D" w:rsidRPr="00AF6173" w:rsidRDefault="00E04C1D" w:rsidP="00AF617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F6173">
              <w:rPr>
                <w:rFonts w:ascii="Arial" w:hAnsi="Arial" w:cs="Arial"/>
                <w:sz w:val="18"/>
                <w:szCs w:val="18"/>
              </w:rPr>
              <w:t>Transport</w:t>
            </w:r>
          </w:p>
        </w:tc>
      </w:tr>
      <w:tr w:rsidR="00E04C1D" w:rsidTr="00F24C87">
        <w:trPr>
          <w:cnfStyle w:val="000000100000" w:firstRow="0" w:lastRow="0" w:firstColumn="0" w:lastColumn="0" w:oddVBand="0" w:evenVBand="0" w:oddHBand="1" w:evenHBand="0" w:firstRowFirstColumn="0" w:firstRowLastColumn="0" w:lastRowFirstColumn="0" w:lastRowLastColumn="0"/>
          <w:cantSplit/>
          <w:trHeight w:val="2268"/>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Pr="00D32478" w:rsidRDefault="00E04C1D" w:rsidP="00D3247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2478">
              <w:rPr>
                <w:rFonts w:ascii="Arial" w:hAnsi="Arial" w:cs="Arial"/>
                <w:sz w:val="18"/>
                <w:szCs w:val="18"/>
              </w:rPr>
              <w:t xml:space="preserve">Le personnel de transport de l’établissement de soins ne peut pas présenter une formation formalisée </w:t>
            </w:r>
            <w:r w:rsidRPr="00D32478">
              <w:rPr>
                <w:rFonts w:ascii="Arial" w:hAnsi="Arial" w:cs="Arial"/>
                <w:bCs/>
                <w:sz w:val="18"/>
                <w:szCs w:val="18"/>
              </w:rPr>
              <w:t xml:space="preserve">en opposition à la </w:t>
            </w:r>
            <w:r w:rsidR="00F24C87">
              <w:rPr>
                <w:rFonts w:ascii="Arial" w:hAnsi="Arial" w:cs="Arial"/>
                <w:sz w:val="18"/>
                <w:szCs w:val="18"/>
              </w:rPr>
              <w:t>décision</w:t>
            </w:r>
            <w:r w:rsidRPr="00D32478">
              <w:rPr>
                <w:rFonts w:ascii="Arial" w:hAnsi="Arial" w:cs="Arial"/>
                <w:sz w:val="18"/>
                <w:szCs w:val="18"/>
              </w:rPr>
              <w:t xml:space="preserve"> du 10 Juillet 2018 définissant les principes de bonnes pratiques prévus à l’article L.1222.12 du code de santé publique.</w:t>
            </w:r>
          </w:p>
          <w:p w:rsidR="00E04C1D" w:rsidRPr="003C29B2" w:rsidRDefault="00E04C1D" w:rsidP="00D3247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32478">
              <w:rPr>
                <w:rFonts w:ascii="Arial" w:hAnsi="Arial" w:cs="Arial"/>
                <w:bCs/>
                <w:i/>
                <w:sz w:val="18"/>
                <w:szCs w:val="18"/>
              </w:rPr>
              <w:t xml:space="preserve">Ligne directrice relative au stockage, au transport et à la conservation des prélèvements, des tubes échantillons et des produits sanguins labiles </w:t>
            </w:r>
            <w:r w:rsidRPr="00D32478">
              <w:rPr>
                <w:rFonts w:ascii="Arial" w:hAnsi="Arial" w:cs="Arial"/>
                <w:i/>
                <w:sz w:val="18"/>
                <w:szCs w:val="18"/>
              </w:rPr>
              <w:t>(I.</w:t>
            </w:r>
            <w:r>
              <w:rPr>
                <w:rFonts w:ascii="Arial" w:hAnsi="Arial" w:cs="Arial"/>
                <w:i/>
                <w:sz w:val="18"/>
                <w:szCs w:val="18"/>
              </w:rPr>
              <w:t>2.5.</w:t>
            </w:r>
            <w:r w:rsidRPr="00D32478">
              <w:rPr>
                <w:rFonts w:ascii="Arial" w:hAnsi="Arial" w:cs="Arial"/>
                <w:i/>
                <w:sz w:val="18"/>
                <w:szCs w:val="18"/>
              </w:rPr>
              <w:t>.)</w:t>
            </w:r>
          </w:p>
        </w:tc>
        <w:tc>
          <w:tcPr>
            <w:tcW w:w="4394" w:type="dxa"/>
            <w:shd w:val="clear" w:color="auto" w:fill="auto"/>
            <w:vAlign w:val="center"/>
          </w:tcPr>
          <w:p w:rsidR="00E04C1D" w:rsidRPr="00D32478" w:rsidRDefault="00E04C1D" w:rsidP="00D32478">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2478">
              <w:rPr>
                <w:rFonts w:ascii="Arial" w:hAnsi="Arial" w:cs="Arial"/>
                <w:sz w:val="18"/>
                <w:szCs w:val="18"/>
              </w:rPr>
              <w:t xml:space="preserve">Mettre en place une formation rapide selon la </w:t>
            </w:r>
            <w:r w:rsidR="00F24C87">
              <w:rPr>
                <w:rFonts w:ascii="Arial" w:hAnsi="Arial" w:cs="Arial"/>
                <w:sz w:val="18"/>
                <w:szCs w:val="18"/>
              </w:rPr>
              <w:t>décision</w:t>
            </w:r>
            <w:r w:rsidRPr="00D32478">
              <w:rPr>
                <w:rFonts w:ascii="Arial" w:hAnsi="Arial" w:cs="Arial"/>
                <w:sz w:val="18"/>
                <w:szCs w:val="18"/>
              </w:rPr>
              <w:t xml:space="preserve"> du 10 juillet 2018</w:t>
            </w:r>
          </w:p>
          <w:p w:rsidR="00E04C1D" w:rsidRPr="00D32478" w:rsidRDefault="00E04C1D" w:rsidP="00D32478">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2478">
              <w:rPr>
                <w:rFonts w:ascii="Arial" w:hAnsi="Arial" w:cs="Arial"/>
                <w:sz w:val="18"/>
                <w:szCs w:val="18"/>
              </w:rPr>
              <w:t>Vérifier que tous les chauffeurs de l’établissement de soins ont eu cette formation</w:t>
            </w:r>
          </w:p>
          <w:p w:rsidR="00E04C1D" w:rsidRPr="00D32478" w:rsidRDefault="00E04C1D" w:rsidP="00D3247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2478">
              <w:rPr>
                <w:rFonts w:ascii="Arial" w:hAnsi="Arial" w:cs="Arial"/>
                <w:sz w:val="18"/>
                <w:szCs w:val="18"/>
              </w:rPr>
              <w:t xml:space="preserve">Les chauffeurs du prestataire sont formés sous la responsabilité du prestataire. </w:t>
            </w:r>
          </w:p>
          <w:p w:rsidR="00E04C1D" w:rsidRPr="00D32478" w:rsidRDefault="00E04C1D" w:rsidP="00D32478">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32478">
              <w:rPr>
                <w:rFonts w:ascii="Arial" w:hAnsi="Arial" w:cs="Arial"/>
                <w:sz w:val="18"/>
                <w:szCs w:val="18"/>
              </w:rPr>
              <w:t>A vérifier en audit des transports</w:t>
            </w:r>
          </w:p>
        </w:tc>
        <w:tc>
          <w:tcPr>
            <w:tcW w:w="1076" w:type="dxa"/>
            <w:shd w:val="clear" w:color="auto" w:fill="auto"/>
            <w:textDirection w:val="btLr"/>
            <w:vAlign w:val="center"/>
          </w:tcPr>
          <w:p w:rsidR="00E04C1D" w:rsidRPr="00AF6173" w:rsidRDefault="00E04C1D" w:rsidP="00AF6173">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04C1D" w:rsidTr="00920BF4">
        <w:trPr>
          <w:cantSplit/>
          <w:trHeight w:val="215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lastRenderedPageBreak/>
              <w:t>E</w:t>
            </w:r>
          </w:p>
        </w:tc>
        <w:tc>
          <w:tcPr>
            <w:tcW w:w="4678" w:type="dxa"/>
            <w:shd w:val="clear" w:color="auto" w:fill="auto"/>
            <w:vAlign w:val="center"/>
          </w:tcPr>
          <w:p w:rsidR="00E04C1D" w:rsidRPr="00CE7F8F" w:rsidRDefault="00E04C1D" w:rsidP="00CE7F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F8F">
              <w:rPr>
                <w:rFonts w:ascii="Arial" w:hAnsi="Arial" w:cs="Arial"/>
                <w:sz w:val="18"/>
                <w:szCs w:val="18"/>
              </w:rPr>
              <w:t>Aucun programme de contrôle thermique, régulier et formalisé</w:t>
            </w:r>
            <w:r>
              <w:rPr>
                <w:rFonts w:ascii="Arial" w:hAnsi="Arial" w:cs="Arial"/>
                <w:sz w:val="18"/>
                <w:szCs w:val="18"/>
              </w:rPr>
              <w:t>,</w:t>
            </w:r>
            <w:r w:rsidRPr="00CE7F8F">
              <w:rPr>
                <w:rFonts w:ascii="Arial" w:hAnsi="Arial" w:cs="Arial"/>
                <w:sz w:val="18"/>
                <w:szCs w:val="18"/>
              </w:rPr>
              <w:t xml:space="preserve"> des températures du transport n’est disponible au niveau du dépôt </w:t>
            </w:r>
            <w:r w:rsidRPr="00CE7F8F">
              <w:rPr>
                <w:rFonts w:ascii="Arial" w:hAnsi="Arial" w:cs="Arial"/>
                <w:bCs/>
                <w:sz w:val="18"/>
                <w:szCs w:val="18"/>
              </w:rPr>
              <w:t xml:space="preserve">en opposition à la </w:t>
            </w:r>
            <w:r w:rsidR="00F24C87">
              <w:rPr>
                <w:rFonts w:ascii="Arial" w:hAnsi="Arial" w:cs="Arial"/>
                <w:sz w:val="18"/>
                <w:szCs w:val="18"/>
              </w:rPr>
              <w:t>décision</w:t>
            </w:r>
            <w:r w:rsidRPr="00CE7F8F">
              <w:rPr>
                <w:rFonts w:ascii="Arial" w:hAnsi="Arial" w:cs="Arial"/>
                <w:sz w:val="18"/>
                <w:szCs w:val="18"/>
              </w:rPr>
              <w:t xml:space="preserve"> du 10 Juillet 2018 définissant les principes de bonnes pratiques prévus à l’article L.1222.12 du code de santé publique</w:t>
            </w:r>
          </w:p>
          <w:p w:rsidR="00E04C1D" w:rsidRPr="00CE7F8F" w:rsidRDefault="00E04C1D" w:rsidP="00CE7F8F">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E7F8F">
              <w:rPr>
                <w:rFonts w:ascii="Arial" w:hAnsi="Arial" w:cs="Arial"/>
                <w:bCs/>
                <w:i/>
                <w:sz w:val="18"/>
                <w:szCs w:val="18"/>
              </w:rPr>
              <w:t xml:space="preserve">Ligne directrice relative au stockage, au transport et à la conservation des prélèvements, des tubes échantillons et des produits sanguins labiles </w:t>
            </w:r>
            <w:r w:rsidRPr="00CE7F8F">
              <w:rPr>
                <w:rFonts w:ascii="Arial" w:hAnsi="Arial" w:cs="Arial"/>
                <w:i/>
                <w:sz w:val="18"/>
                <w:szCs w:val="18"/>
              </w:rPr>
              <w:t>(I.2.8.f.)</w:t>
            </w:r>
          </w:p>
        </w:tc>
        <w:tc>
          <w:tcPr>
            <w:tcW w:w="4394" w:type="dxa"/>
            <w:shd w:val="clear" w:color="auto" w:fill="auto"/>
            <w:vAlign w:val="center"/>
          </w:tcPr>
          <w:p w:rsidR="00E04C1D" w:rsidRPr="005D6C69" w:rsidRDefault="00E04C1D" w:rsidP="005D6C69">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D6C69">
              <w:rPr>
                <w:rFonts w:ascii="Arial" w:hAnsi="Arial" w:cs="Arial"/>
                <w:sz w:val="18"/>
                <w:szCs w:val="18"/>
              </w:rPr>
              <w:t>Demander à EFS un document ou un mail dans lequel il atteste qu’en cas de contrôle anormal sur les enregistreurs associés aux CG (</w:t>
            </w:r>
            <w:r>
              <w:rPr>
                <w:rFonts w:ascii="Arial" w:hAnsi="Arial" w:cs="Arial"/>
                <w:sz w:val="18"/>
                <w:szCs w:val="18"/>
              </w:rPr>
              <w:t>thermo-</w:t>
            </w:r>
            <w:r w:rsidRPr="005D6C69">
              <w:rPr>
                <w:rFonts w:ascii="Arial" w:hAnsi="Arial" w:cs="Arial"/>
                <w:sz w:val="18"/>
                <w:szCs w:val="18"/>
              </w:rPr>
              <w:t>traceurs), le dépôt sera prévenu et recevra les tracés.</w:t>
            </w:r>
          </w:p>
          <w:p w:rsidR="00E04C1D" w:rsidRPr="00D32478" w:rsidRDefault="00E04C1D" w:rsidP="00CE7F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 cette manière on peut considérer qu’en absence d’information, tout se passe bien. Le programme de contrôle de la température des transports est donc constitué de tous les retours de PSL</w:t>
            </w:r>
          </w:p>
        </w:tc>
        <w:tc>
          <w:tcPr>
            <w:tcW w:w="1076" w:type="dxa"/>
            <w:shd w:val="clear" w:color="auto" w:fill="auto"/>
            <w:textDirection w:val="btLr"/>
            <w:vAlign w:val="center"/>
          </w:tcPr>
          <w:p w:rsidR="00E04C1D" w:rsidRPr="00AF6173" w:rsidRDefault="00E04C1D" w:rsidP="00AF617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04C1D" w:rsidTr="00920BF4">
        <w:trPr>
          <w:cnfStyle w:val="000000100000" w:firstRow="0" w:lastRow="0" w:firstColumn="0" w:lastColumn="0" w:oddVBand="0" w:evenVBand="0" w:oddHBand="1" w:evenHBand="0" w:firstRowFirstColumn="0" w:firstRowLastColumn="0" w:lastRowFirstColumn="0" w:lastRowLastColumn="0"/>
          <w:cantSplit/>
          <w:trHeight w:val="181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DD5F1E">
            <w:pPr>
              <w:jc w:val="center"/>
              <w:rPr>
                <w:rFonts w:ascii="Arial" w:hAnsi="Arial" w:cs="Arial"/>
                <w:color w:val="auto"/>
              </w:rPr>
            </w:pPr>
            <w:r w:rsidRPr="000774E7">
              <w:rPr>
                <w:rFonts w:ascii="Arial" w:hAnsi="Arial" w:cs="Arial"/>
                <w:color w:val="auto"/>
              </w:rPr>
              <w:t>E</w:t>
            </w:r>
          </w:p>
        </w:tc>
        <w:tc>
          <w:tcPr>
            <w:tcW w:w="4678" w:type="dxa"/>
            <w:shd w:val="clear" w:color="auto" w:fill="auto"/>
            <w:vAlign w:val="center"/>
          </w:tcPr>
          <w:p w:rsidR="00E04C1D" w:rsidRPr="001F6047" w:rsidRDefault="00E04C1D" w:rsidP="00DD5F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F6047">
              <w:rPr>
                <w:rFonts w:ascii="Arial" w:hAnsi="Arial" w:cs="Arial"/>
                <w:sz w:val="18"/>
                <w:szCs w:val="18"/>
              </w:rPr>
              <w:t xml:space="preserve">Le contrôle de conformité du transport ne fait pas l’objet d’une traçabilité </w:t>
            </w:r>
            <w:r w:rsidRPr="001F6047">
              <w:rPr>
                <w:rFonts w:ascii="Arial" w:hAnsi="Arial" w:cs="Arial"/>
                <w:bCs/>
                <w:sz w:val="18"/>
                <w:szCs w:val="18"/>
              </w:rPr>
              <w:t xml:space="preserve">en opposition à la </w:t>
            </w:r>
            <w:r w:rsidR="00F24C87">
              <w:rPr>
                <w:rFonts w:ascii="Arial" w:hAnsi="Arial" w:cs="Arial"/>
                <w:sz w:val="18"/>
                <w:szCs w:val="18"/>
              </w:rPr>
              <w:t>décision</w:t>
            </w:r>
            <w:r w:rsidRPr="001F6047">
              <w:rPr>
                <w:rFonts w:ascii="Arial" w:hAnsi="Arial" w:cs="Arial"/>
                <w:sz w:val="18"/>
                <w:szCs w:val="18"/>
              </w:rPr>
              <w:t xml:space="preserve"> du 10 Juillet 2018 définissant les principes de bonnes pratiques prévus à l’article L.1222.12 du code de santé publique</w:t>
            </w:r>
          </w:p>
          <w:p w:rsidR="00E04C1D" w:rsidRPr="003C29B2" w:rsidRDefault="00E04C1D" w:rsidP="00DD5F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6047">
              <w:rPr>
                <w:rFonts w:ascii="Arial" w:hAnsi="Arial" w:cs="Arial"/>
                <w:bCs/>
                <w:i/>
                <w:sz w:val="18"/>
                <w:szCs w:val="18"/>
              </w:rPr>
              <w:t xml:space="preserve">Ligne directrice relative au stockage, au transport et à la conservation des prélèvements, des tubes échantillons et des produits sanguins labiles </w:t>
            </w:r>
            <w:r w:rsidRPr="001F6047">
              <w:rPr>
                <w:rFonts w:ascii="Arial" w:hAnsi="Arial" w:cs="Arial"/>
                <w:i/>
                <w:sz w:val="18"/>
                <w:szCs w:val="18"/>
              </w:rPr>
              <w:t>(I.</w:t>
            </w:r>
            <w:r>
              <w:rPr>
                <w:rFonts w:ascii="Arial" w:hAnsi="Arial" w:cs="Arial"/>
                <w:i/>
                <w:sz w:val="18"/>
                <w:szCs w:val="18"/>
              </w:rPr>
              <w:t>2.2</w:t>
            </w:r>
            <w:r w:rsidRPr="001F6047">
              <w:rPr>
                <w:rFonts w:ascii="Arial" w:hAnsi="Arial" w:cs="Arial"/>
                <w:i/>
                <w:sz w:val="18"/>
                <w:szCs w:val="18"/>
              </w:rPr>
              <w:t>.</w:t>
            </w:r>
            <w:r>
              <w:rPr>
                <w:rFonts w:ascii="Arial" w:hAnsi="Arial" w:cs="Arial"/>
                <w:i/>
                <w:sz w:val="18"/>
                <w:szCs w:val="18"/>
              </w:rPr>
              <w:t>c</w:t>
            </w:r>
            <w:r w:rsidRPr="001F6047">
              <w:rPr>
                <w:rFonts w:ascii="Arial" w:hAnsi="Arial" w:cs="Arial"/>
                <w:i/>
                <w:sz w:val="18"/>
                <w:szCs w:val="18"/>
              </w:rPr>
              <w:t>)</w:t>
            </w:r>
          </w:p>
        </w:tc>
        <w:tc>
          <w:tcPr>
            <w:tcW w:w="4394" w:type="dxa"/>
            <w:shd w:val="clear" w:color="auto" w:fill="auto"/>
            <w:vAlign w:val="center"/>
          </w:tcPr>
          <w:p w:rsidR="00E04C1D" w:rsidRPr="009357C6" w:rsidRDefault="00E04C1D" w:rsidP="00DD5F1E">
            <w:pPr>
              <w:pStyle w:val="Paragraphedeliste"/>
              <w:numPr>
                <w:ilvl w:val="0"/>
                <w:numId w:val="1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357C6">
              <w:rPr>
                <w:rFonts w:ascii="Arial" w:hAnsi="Arial" w:cs="Arial"/>
                <w:sz w:val="18"/>
                <w:szCs w:val="18"/>
              </w:rPr>
              <w:t xml:space="preserve">Etablir un outil de recueil du bon ou du mauvais déroulement du transport concernant le délai, le conditionnement, </w:t>
            </w:r>
            <w:r>
              <w:rPr>
                <w:rFonts w:ascii="Arial" w:hAnsi="Arial" w:cs="Arial"/>
                <w:sz w:val="18"/>
                <w:szCs w:val="18"/>
              </w:rPr>
              <w:t xml:space="preserve">l’hygiène </w:t>
            </w:r>
            <w:r w:rsidRPr="009357C6">
              <w:rPr>
                <w:rFonts w:ascii="Arial" w:hAnsi="Arial" w:cs="Arial"/>
                <w:sz w:val="18"/>
                <w:szCs w:val="18"/>
              </w:rPr>
              <w:t>…</w:t>
            </w:r>
          </w:p>
          <w:p w:rsidR="00E04C1D" w:rsidRPr="009357C6" w:rsidRDefault="00E04C1D" w:rsidP="00DD5F1E">
            <w:pPr>
              <w:pStyle w:val="Paragraphedeliste"/>
              <w:numPr>
                <w:ilvl w:val="0"/>
                <w:numId w:val="1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357C6">
              <w:rPr>
                <w:rFonts w:ascii="Arial" w:hAnsi="Arial" w:cs="Arial"/>
                <w:sz w:val="18"/>
                <w:szCs w:val="18"/>
              </w:rPr>
              <w:t>Ce recueil est enregistré et signé</w:t>
            </w:r>
          </w:p>
        </w:tc>
        <w:tc>
          <w:tcPr>
            <w:tcW w:w="1076" w:type="dxa"/>
            <w:shd w:val="clear" w:color="auto" w:fill="auto"/>
            <w:textDirection w:val="btLr"/>
            <w:vAlign w:val="center"/>
          </w:tcPr>
          <w:p w:rsidR="00E04C1D" w:rsidRPr="00AF6173" w:rsidRDefault="00E04C1D" w:rsidP="00AF6173">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04C1D" w:rsidTr="00920BF4">
        <w:trPr>
          <w:cantSplit/>
          <w:trHeight w:val="1417"/>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R</w:t>
            </w:r>
          </w:p>
        </w:tc>
        <w:tc>
          <w:tcPr>
            <w:tcW w:w="4678" w:type="dxa"/>
            <w:shd w:val="clear" w:color="auto" w:fill="auto"/>
            <w:vAlign w:val="center"/>
          </w:tcPr>
          <w:p w:rsidR="00E04C1D" w:rsidRDefault="00E04C1D" w:rsidP="005406D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43D5">
              <w:rPr>
                <w:rFonts w:ascii="Arial" w:hAnsi="Arial" w:cs="Arial"/>
                <w:sz w:val="18"/>
                <w:szCs w:val="18"/>
              </w:rPr>
              <w:t>Le dépôt ne dispose pa</w:t>
            </w:r>
            <w:r>
              <w:rPr>
                <w:rFonts w:ascii="Arial" w:hAnsi="Arial" w:cs="Arial"/>
                <w:sz w:val="18"/>
                <w:szCs w:val="18"/>
              </w:rPr>
              <w:t>s de conduite à tenir écrite en</w:t>
            </w:r>
          </w:p>
          <w:p w:rsidR="00E04C1D" w:rsidRPr="00E843D5" w:rsidRDefault="00E04C1D" w:rsidP="005406DF">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E843D5">
              <w:rPr>
                <w:rFonts w:ascii="Arial" w:hAnsi="Arial" w:cs="Arial"/>
                <w:sz w:val="18"/>
                <w:szCs w:val="18"/>
              </w:rPr>
              <w:t>cas d’indisponibilité de son prestataire de transport</w:t>
            </w:r>
          </w:p>
        </w:tc>
        <w:tc>
          <w:tcPr>
            <w:tcW w:w="4394" w:type="dxa"/>
            <w:shd w:val="clear" w:color="auto" w:fill="auto"/>
            <w:vAlign w:val="center"/>
          </w:tcPr>
          <w:p w:rsidR="00E04C1D" w:rsidRPr="00E843D5" w:rsidRDefault="00E04C1D" w:rsidP="00E843D5">
            <w:pPr>
              <w:pStyle w:val="Paragraphedeliste"/>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43D5">
              <w:rPr>
                <w:rFonts w:ascii="Arial" w:hAnsi="Arial" w:cs="Arial"/>
                <w:sz w:val="18"/>
                <w:szCs w:val="18"/>
              </w:rPr>
              <w:t xml:space="preserve">Prévoir la situation </w:t>
            </w:r>
            <w:r>
              <w:rPr>
                <w:rFonts w:ascii="Arial" w:hAnsi="Arial" w:cs="Arial"/>
                <w:sz w:val="18"/>
                <w:szCs w:val="18"/>
              </w:rPr>
              <w:t>et rédiger une procédure ou un chapitre dans la procédure de transport pour savoir comment agir le cas échéant.</w:t>
            </w:r>
          </w:p>
          <w:p w:rsidR="00E04C1D" w:rsidRPr="00E843D5" w:rsidRDefault="00E04C1D" w:rsidP="00E843D5">
            <w:pPr>
              <w:pStyle w:val="Paragraphedeliste"/>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43D5">
              <w:rPr>
                <w:rFonts w:ascii="Arial" w:hAnsi="Arial" w:cs="Arial"/>
                <w:sz w:val="18"/>
                <w:szCs w:val="18"/>
              </w:rPr>
              <w:t xml:space="preserve">Envisager un recours à une solution locale </w:t>
            </w:r>
          </w:p>
          <w:p w:rsidR="00E04C1D" w:rsidRPr="00E843D5" w:rsidRDefault="00E04C1D" w:rsidP="00E843D5">
            <w:pPr>
              <w:pStyle w:val="Paragraphedeliste"/>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43D5">
              <w:rPr>
                <w:rFonts w:ascii="Arial" w:hAnsi="Arial" w:cs="Arial"/>
                <w:sz w:val="18"/>
                <w:szCs w:val="18"/>
              </w:rPr>
              <w:t>Un taxi</w:t>
            </w:r>
          </w:p>
        </w:tc>
        <w:tc>
          <w:tcPr>
            <w:tcW w:w="1076" w:type="dxa"/>
            <w:shd w:val="clear" w:color="auto" w:fill="auto"/>
            <w:textDirection w:val="btLr"/>
            <w:vAlign w:val="center"/>
          </w:tcPr>
          <w:p w:rsidR="00E04C1D" w:rsidRPr="00AF6173" w:rsidRDefault="00E04C1D" w:rsidP="00AF617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04C1D" w:rsidTr="00920BF4">
        <w:trPr>
          <w:cnfStyle w:val="000000100000" w:firstRow="0" w:lastRow="0" w:firstColumn="0" w:lastColumn="0" w:oddVBand="0" w:evenVBand="0" w:oddHBand="1"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675" w:type="dxa"/>
            <w:shd w:val="clear" w:color="auto" w:fill="D9D9D9" w:themeFill="background1" w:themeFillShade="D9"/>
            <w:vAlign w:val="center"/>
          </w:tcPr>
          <w:p w:rsidR="00E04C1D" w:rsidRPr="000774E7" w:rsidRDefault="00E04C1D" w:rsidP="004C6E7E">
            <w:pPr>
              <w:jc w:val="center"/>
              <w:rPr>
                <w:rFonts w:ascii="Arial" w:hAnsi="Arial" w:cs="Arial"/>
              </w:rPr>
            </w:pPr>
            <w:r w:rsidRPr="00382162">
              <w:rPr>
                <w:rFonts w:ascii="Arial" w:hAnsi="Arial" w:cs="Arial"/>
                <w:color w:val="auto"/>
              </w:rPr>
              <w:t>R</w:t>
            </w:r>
          </w:p>
        </w:tc>
        <w:tc>
          <w:tcPr>
            <w:tcW w:w="4678" w:type="dxa"/>
            <w:shd w:val="clear" w:color="auto" w:fill="auto"/>
            <w:vAlign w:val="center"/>
          </w:tcPr>
          <w:p w:rsidR="00E04C1D" w:rsidRPr="005406DF" w:rsidRDefault="00E04C1D" w:rsidP="00761DB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Les opérations de nettoyage désinfection du matériel de transport ne sont pas enregistrées</w:t>
            </w:r>
          </w:p>
        </w:tc>
        <w:tc>
          <w:tcPr>
            <w:tcW w:w="4394" w:type="dxa"/>
            <w:shd w:val="clear" w:color="auto" w:fill="auto"/>
            <w:vAlign w:val="center"/>
          </w:tcPr>
          <w:p w:rsidR="00E04C1D" w:rsidRDefault="00E04C1D" w:rsidP="005406D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Les boites nécessaires au transport des produits sanguins du dépôt vers l’EFS doivent être nettoyées sous la responsabilité du dépôt et ces opérations doivent être enregistrées.</w:t>
            </w:r>
          </w:p>
          <w:p w:rsidR="00E04C1D" w:rsidRPr="00382162" w:rsidRDefault="00E04C1D" w:rsidP="00382162">
            <w:pPr>
              <w:pStyle w:val="Paragraphedeliste"/>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82162">
              <w:rPr>
                <w:rFonts w:ascii="Arial" w:hAnsi="Arial" w:cs="Arial"/>
                <w:sz w:val="18"/>
                <w:szCs w:val="18"/>
              </w:rPr>
              <w:t>Etablir un relevé</w:t>
            </w:r>
          </w:p>
        </w:tc>
        <w:tc>
          <w:tcPr>
            <w:tcW w:w="1076" w:type="dxa"/>
            <w:shd w:val="clear" w:color="auto" w:fill="auto"/>
            <w:textDirection w:val="btLr"/>
            <w:vAlign w:val="center"/>
          </w:tcPr>
          <w:p w:rsidR="00E04C1D" w:rsidRDefault="00E04C1D" w:rsidP="00B32A2C">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r w:rsidR="00E04C1D" w:rsidTr="00E04C1D">
        <w:trPr>
          <w:cantSplit/>
          <w:trHeight w:val="1134"/>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right w:val="none" w:sz="0" w:space="0" w:color="auto"/>
            </w:tcBorders>
            <w:shd w:val="clear" w:color="auto" w:fill="D9D9D9" w:themeFill="background1" w:themeFillShade="D9"/>
            <w:vAlign w:val="center"/>
          </w:tcPr>
          <w:p w:rsidR="00E04C1D" w:rsidRPr="000774E7" w:rsidRDefault="00E04C1D" w:rsidP="004C6E7E">
            <w:pPr>
              <w:jc w:val="center"/>
              <w:rPr>
                <w:color w:val="auto"/>
              </w:rPr>
            </w:pPr>
            <w:r w:rsidRPr="000774E7">
              <w:rPr>
                <w:rFonts w:ascii="Arial" w:hAnsi="Arial" w:cs="Arial"/>
                <w:color w:val="auto"/>
              </w:rPr>
              <w:t>R</w:t>
            </w:r>
          </w:p>
        </w:tc>
        <w:tc>
          <w:tcPr>
            <w:tcW w:w="4678" w:type="dxa"/>
            <w:shd w:val="clear" w:color="auto" w:fill="auto"/>
            <w:vAlign w:val="center"/>
          </w:tcPr>
          <w:p w:rsidR="00E04C1D" w:rsidRPr="005406DF" w:rsidRDefault="00E04C1D" w:rsidP="00761DB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06DF">
              <w:rPr>
                <w:rFonts w:ascii="Arial" w:hAnsi="Arial" w:cs="Arial"/>
                <w:sz w:val="18"/>
                <w:szCs w:val="18"/>
              </w:rPr>
              <w:t>Le dépôt utilise le protocole de conditionnement des produits sanguins pour le transport, établi et validé par EFS, mais ce</w:t>
            </w:r>
            <w:r>
              <w:rPr>
                <w:rFonts w:ascii="Arial" w:hAnsi="Arial" w:cs="Arial"/>
                <w:sz w:val="18"/>
                <w:szCs w:val="18"/>
              </w:rPr>
              <w:t xml:space="preserve"> protocole n’est pas disponible</w:t>
            </w:r>
            <w:r w:rsidRPr="005406DF">
              <w:rPr>
                <w:rFonts w:ascii="Arial" w:hAnsi="Arial" w:cs="Arial"/>
                <w:sz w:val="18"/>
                <w:szCs w:val="18"/>
              </w:rPr>
              <w:t>.</w:t>
            </w:r>
          </w:p>
        </w:tc>
        <w:tc>
          <w:tcPr>
            <w:tcW w:w="4394" w:type="dxa"/>
            <w:shd w:val="clear" w:color="auto" w:fill="auto"/>
            <w:vAlign w:val="center"/>
          </w:tcPr>
          <w:p w:rsidR="00E04C1D" w:rsidRPr="005406DF" w:rsidRDefault="00E04C1D" w:rsidP="005406D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06DF">
              <w:rPr>
                <w:rFonts w:ascii="Arial" w:hAnsi="Arial" w:cs="Arial"/>
                <w:sz w:val="18"/>
                <w:szCs w:val="18"/>
              </w:rPr>
              <w:t>Révision de la documentation régulière de manière à ce que les données soient bien disponibles</w:t>
            </w:r>
          </w:p>
        </w:tc>
        <w:tc>
          <w:tcPr>
            <w:tcW w:w="1076" w:type="dxa"/>
            <w:shd w:val="clear" w:color="auto" w:fill="auto"/>
            <w:textDirection w:val="btLr"/>
            <w:vAlign w:val="center"/>
          </w:tcPr>
          <w:p w:rsidR="00E04C1D" w:rsidRPr="005406DF" w:rsidRDefault="00E04C1D" w:rsidP="00B32A2C">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Transport</w:t>
            </w:r>
          </w:p>
        </w:tc>
      </w:tr>
    </w:tbl>
    <w:p w:rsidR="00DC62AC" w:rsidRPr="008A2FD3" w:rsidRDefault="00DC62AC">
      <w:pPr>
        <w:rPr>
          <w:rFonts w:ascii="Arial" w:hAnsi="Arial" w:cs="Arial"/>
        </w:rPr>
      </w:pPr>
    </w:p>
    <w:sectPr w:rsidR="00DC62AC" w:rsidRPr="008A2FD3" w:rsidSect="00850E5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57" w:rsidRDefault="00724157" w:rsidP="0019771D">
      <w:pPr>
        <w:spacing w:line="240" w:lineRule="auto"/>
      </w:pPr>
      <w:r>
        <w:separator/>
      </w:r>
    </w:p>
  </w:endnote>
  <w:endnote w:type="continuationSeparator" w:id="0">
    <w:p w:rsidR="00724157" w:rsidRDefault="00724157" w:rsidP="0019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96681"/>
      <w:docPartObj>
        <w:docPartGallery w:val="Page Numbers (Bottom of Page)"/>
        <w:docPartUnique/>
      </w:docPartObj>
    </w:sdtPr>
    <w:sdtEndPr/>
    <w:sdtContent>
      <w:p w:rsidR="00B9474B" w:rsidRDefault="00B9474B" w:rsidP="001047DA">
        <w:pPr>
          <w:pStyle w:val="Pieddepage"/>
          <w:pBdr>
            <w:top w:val="single" w:sz="4" w:space="1" w:color="auto"/>
          </w:pBdr>
          <w:jc w:val="center"/>
        </w:pPr>
        <w:r>
          <w:fldChar w:fldCharType="begin"/>
        </w:r>
        <w:r>
          <w:instrText>PAGE   \* MERGEFORMAT</w:instrText>
        </w:r>
        <w:r>
          <w:fldChar w:fldCharType="separate"/>
        </w:r>
        <w:r w:rsidR="000B61D5">
          <w:rPr>
            <w:noProof/>
          </w:rPr>
          <w:t>1</w:t>
        </w:r>
        <w:r>
          <w:fldChar w:fldCharType="end"/>
        </w:r>
      </w:p>
    </w:sdtContent>
  </w:sdt>
  <w:p w:rsidR="0019771D" w:rsidRDefault="001977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57" w:rsidRDefault="00724157" w:rsidP="0019771D">
      <w:pPr>
        <w:spacing w:line="240" w:lineRule="auto"/>
      </w:pPr>
      <w:r>
        <w:separator/>
      </w:r>
    </w:p>
  </w:footnote>
  <w:footnote w:type="continuationSeparator" w:id="0">
    <w:p w:rsidR="00724157" w:rsidRDefault="00724157" w:rsidP="001977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9C9"/>
    <w:multiLevelType w:val="hybridMultilevel"/>
    <w:tmpl w:val="83F00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24A0D5A"/>
    <w:multiLevelType w:val="hybridMultilevel"/>
    <w:tmpl w:val="ED44F4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22F4247"/>
    <w:multiLevelType w:val="hybridMultilevel"/>
    <w:tmpl w:val="AEAA6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4C0DB1"/>
    <w:multiLevelType w:val="hybridMultilevel"/>
    <w:tmpl w:val="B1B63A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29A198B"/>
    <w:multiLevelType w:val="hybridMultilevel"/>
    <w:tmpl w:val="8B1C16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0C20214"/>
    <w:multiLevelType w:val="hybridMultilevel"/>
    <w:tmpl w:val="DC02E1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16212DA"/>
    <w:multiLevelType w:val="hybridMultilevel"/>
    <w:tmpl w:val="EDB85C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1D712E5"/>
    <w:multiLevelType w:val="hybridMultilevel"/>
    <w:tmpl w:val="26DC4A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41E6FE8"/>
    <w:multiLevelType w:val="hybridMultilevel"/>
    <w:tmpl w:val="D2D283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BE546B1"/>
    <w:multiLevelType w:val="hybridMultilevel"/>
    <w:tmpl w:val="8006F5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E961552"/>
    <w:multiLevelType w:val="hybridMultilevel"/>
    <w:tmpl w:val="3668B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DD2120"/>
    <w:multiLevelType w:val="hybridMultilevel"/>
    <w:tmpl w:val="EAF2FF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1C241C1"/>
    <w:multiLevelType w:val="hybridMultilevel"/>
    <w:tmpl w:val="814C9D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4A45BAF"/>
    <w:multiLevelType w:val="hybridMultilevel"/>
    <w:tmpl w:val="3B767D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A9B28B4"/>
    <w:multiLevelType w:val="hybridMultilevel"/>
    <w:tmpl w:val="82047C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F3A786F"/>
    <w:multiLevelType w:val="hybridMultilevel"/>
    <w:tmpl w:val="3B0EE4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54F4C5C"/>
    <w:multiLevelType w:val="hybridMultilevel"/>
    <w:tmpl w:val="777088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69B13DF"/>
    <w:multiLevelType w:val="hybridMultilevel"/>
    <w:tmpl w:val="FBCC71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8F263FC"/>
    <w:multiLevelType w:val="hybridMultilevel"/>
    <w:tmpl w:val="F1B0B3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F0C5F02"/>
    <w:multiLevelType w:val="hybridMultilevel"/>
    <w:tmpl w:val="529CB3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2BF47D8"/>
    <w:multiLevelType w:val="hybridMultilevel"/>
    <w:tmpl w:val="C7A480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2DB1E71"/>
    <w:multiLevelType w:val="hybridMultilevel"/>
    <w:tmpl w:val="2410C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4"/>
  </w:num>
  <w:num w:numId="4">
    <w:abstractNumId w:val="17"/>
  </w:num>
  <w:num w:numId="5">
    <w:abstractNumId w:val="18"/>
  </w:num>
  <w:num w:numId="6">
    <w:abstractNumId w:val="12"/>
  </w:num>
  <w:num w:numId="7">
    <w:abstractNumId w:val="8"/>
  </w:num>
  <w:num w:numId="8">
    <w:abstractNumId w:val="16"/>
  </w:num>
  <w:num w:numId="9">
    <w:abstractNumId w:val="7"/>
  </w:num>
  <w:num w:numId="10">
    <w:abstractNumId w:val="15"/>
  </w:num>
  <w:num w:numId="11">
    <w:abstractNumId w:val="19"/>
  </w:num>
  <w:num w:numId="12">
    <w:abstractNumId w:val="20"/>
  </w:num>
  <w:num w:numId="13">
    <w:abstractNumId w:val="13"/>
  </w:num>
  <w:num w:numId="14">
    <w:abstractNumId w:val="3"/>
  </w:num>
  <w:num w:numId="15">
    <w:abstractNumId w:val="5"/>
  </w:num>
  <w:num w:numId="16">
    <w:abstractNumId w:val="6"/>
  </w:num>
  <w:num w:numId="17">
    <w:abstractNumId w:val="21"/>
  </w:num>
  <w:num w:numId="18">
    <w:abstractNumId w:val="1"/>
  </w:num>
  <w:num w:numId="19">
    <w:abstractNumId w:val="14"/>
  </w:num>
  <w:num w:numId="20">
    <w:abstractNumId w:val="2"/>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D3"/>
    <w:rsid w:val="0001133C"/>
    <w:rsid w:val="00013D2C"/>
    <w:rsid w:val="000332B7"/>
    <w:rsid w:val="00050A0F"/>
    <w:rsid w:val="000774E7"/>
    <w:rsid w:val="00086722"/>
    <w:rsid w:val="000A63C3"/>
    <w:rsid w:val="000B141B"/>
    <w:rsid w:val="000B363E"/>
    <w:rsid w:val="000B61D5"/>
    <w:rsid w:val="000C0C99"/>
    <w:rsid w:val="000C1D1D"/>
    <w:rsid w:val="000C3159"/>
    <w:rsid w:val="000E131D"/>
    <w:rsid w:val="001047DA"/>
    <w:rsid w:val="001646FB"/>
    <w:rsid w:val="0019771D"/>
    <w:rsid w:val="001B004C"/>
    <w:rsid w:val="001F2B19"/>
    <w:rsid w:val="001F6047"/>
    <w:rsid w:val="002245DC"/>
    <w:rsid w:val="00281095"/>
    <w:rsid w:val="00297DE6"/>
    <w:rsid w:val="002C48D0"/>
    <w:rsid w:val="002F3FE5"/>
    <w:rsid w:val="0030448A"/>
    <w:rsid w:val="003123D4"/>
    <w:rsid w:val="00342189"/>
    <w:rsid w:val="00360A79"/>
    <w:rsid w:val="00382162"/>
    <w:rsid w:val="00383D01"/>
    <w:rsid w:val="003C29B2"/>
    <w:rsid w:val="003D0A16"/>
    <w:rsid w:val="003E48F7"/>
    <w:rsid w:val="0042561A"/>
    <w:rsid w:val="00481072"/>
    <w:rsid w:val="004C5143"/>
    <w:rsid w:val="004C6E7E"/>
    <w:rsid w:val="00500907"/>
    <w:rsid w:val="005406DF"/>
    <w:rsid w:val="00580762"/>
    <w:rsid w:val="005B140C"/>
    <w:rsid w:val="005B56AA"/>
    <w:rsid w:val="005D0089"/>
    <w:rsid w:val="005D6C69"/>
    <w:rsid w:val="00697AAB"/>
    <w:rsid w:val="006E529A"/>
    <w:rsid w:val="006E7296"/>
    <w:rsid w:val="006F1937"/>
    <w:rsid w:val="007018EE"/>
    <w:rsid w:val="00724157"/>
    <w:rsid w:val="007318C4"/>
    <w:rsid w:val="00761DB2"/>
    <w:rsid w:val="007746E7"/>
    <w:rsid w:val="00781255"/>
    <w:rsid w:val="007819DE"/>
    <w:rsid w:val="00784C33"/>
    <w:rsid w:val="007B7149"/>
    <w:rsid w:val="00805966"/>
    <w:rsid w:val="00811BD7"/>
    <w:rsid w:val="0084232F"/>
    <w:rsid w:val="00850E59"/>
    <w:rsid w:val="00866F57"/>
    <w:rsid w:val="00872FA6"/>
    <w:rsid w:val="008A2FD3"/>
    <w:rsid w:val="008F1A04"/>
    <w:rsid w:val="008F4C4F"/>
    <w:rsid w:val="00900BDF"/>
    <w:rsid w:val="00920BF4"/>
    <w:rsid w:val="00921806"/>
    <w:rsid w:val="009357C6"/>
    <w:rsid w:val="009675A5"/>
    <w:rsid w:val="009C595D"/>
    <w:rsid w:val="009C7F57"/>
    <w:rsid w:val="009F4C9A"/>
    <w:rsid w:val="00A02CF4"/>
    <w:rsid w:val="00A24FBD"/>
    <w:rsid w:val="00A46EC0"/>
    <w:rsid w:val="00A56609"/>
    <w:rsid w:val="00A9154D"/>
    <w:rsid w:val="00AB75A5"/>
    <w:rsid w:val="00AF6173"/>
    <w:rsid w:val="00B02EF0"/>
    <w:rsid w:val="00B06977"/>
    <w:rsid w:val="00B077E3"/>
    <w:rsid w:val="00B24533"/>
    <w:rsid w:val="00B32A2C"/>
    <w:rsid w:val="00B47519"/>
    <w:rsid w:val="00B63D4E"/>
    <w:rsid w:val="00B74305"/>
    <w:rsid w:val="00B81E78"/>
    <w:rsid w:val="00B9474B"/>
    <w:rsid w:val="00BA34A9"/>
    <w:rsid w:val="00BC015D"/>
    <w:rsid w:val="00BC6836"/>
    <w:rsid w:val="00BD0AEE"/>
    <w:rsid w:val="00BF2D0C"/>
    <w:rsid w:val="00C54F2E"/>
    <w:rsid w:val="00C76B7E"/>
    <w:rsid w:val="00CA28A4"/>
    <w:rsid w:val="00CC6EFC"/>
    <w:rsid w:val="00CE7F8F"/>
    <w:rsid w:val="00D140E6"/>
    <w:rsid w:val="00D141F7"/>
    <w:rsid w:val="00D32478"/>
    <w:rsid w:val="00D602E4"/>
    <w:rsid w:val="00D62F64"/>
    <w:rsid w:val="00DC62AC"/>
    <w:rsid w:val="00E04C1D"/>
    <w:rsid w:val="00E843D5"/>
    <w:rsid w:val="00EB168F"/>
    <w:rsid w:val="00EB7CCB"/>
    <w:rsid w:val="00EE33E9"/>
    <w:rsid w:val="00F1168C"/>
    <w:rsid w:val="00F24C87"/>
    <w:rsid w:val="00F476DE"/>
    <w:rsid w:val="00F6451B"/>
    <w:rsid w:val="00FB560E"/>
    <w:rsid w:val="00FF4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fr-FR"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48F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8F7"/>
    <w:rPr>
      <w:rFonts w:ascii="Tahoma" w:hAnsi="Tahoma" w:cs="Tahoma"/>
      <w:sz w:val="16"/>
      <w:szCs w:val="16"/>
    </w:rPr>
  </w:style>
  <w:style w:type="paragraph" w:styleId="Paragraphedeliste">
    <w:name w:val="List Paragraph"/>
    <w:basedOn w:val="Normal"/>
    <w:uiPriority w:val="34"/>
    <w:qFormat/>
    <w:rsid w:val="00DC62AC"/>
    <w:pPr>
      <w:ind w:left="720"/>
      <w:contextualSpacing/>
    </w:pPr>
  </w:style>
  <w:style w:type="table" w:styleId="Grilledutableau">
    <w:name w:val="Table Grid"/>
    <w:basedOn w:val="TableauNormal"/>
    <w:uiPriority w:val="59"/>
    <w:rsid w:val="00DC62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DC62AC"/>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1">
    <w:name w:val="Light Shading Accent 1"/>
    <w:basedOn w:val="TableauNormal"/>
    <w:uiPriority w:val="60"/>
    <w:rsid w:val="00DC62AC"/>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DC62A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3">
    <w:name w:val="Medium List 1 Accent 3"/>
    <w:basedOn w:val="TableauNormal"/>
    <w:uiPriority w:val="65"/>
    <w:rsid w:val="00281095"/>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menufittitre">
    <w:name w:val="menufittitre"/>
    <w:basedOn w:val="Policepardfaut"/>
    <w:rsid w:val="003C29B2"/>
  </w:style>
  <w:style w:type="character" w:styleId="lev">
    <w:name w:val="Strong"/>
    <w:basedOn w:val="Policepardfaut"/>
    <w:uiPriority w:val="22"/>
    <w:qFormat/>
    <w:rsid w:val="003C29B2"/>
    <w:rPr>
      <w:b/>
      <w:bCs/>
    </w:rPr>
  </w:style>
  <w:style w:type="table" w:styleId="Tramemoyenne2-Accent6">
    <w:name w:val="Medium Shading 2 Accent 6"/>
    <w:basedOn w:val="TableauNormal"/>
    <w:uiPriority w:val="64"/>
    <w:rsid w:val="004C6E7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19771D"/>
    <w:pPr>
      <w:tabs>
        <w:tab w:val="center" w:pos="4536"/>
        <w:tab w:val="right" w:pos="9072"/>
      </w:tabs>
      <w:spacing w:line="240" w:lineRule="auto"/>
    </w:pPr>
  </w:style>
  <w:style w:type="character" w:customStyle="1" w:styleId="En-tteCar">
    <w:name w:val="En-tête Car"/>
    <w:basedOn w:val="Policepardfaut"/>
    <w:link w:val="En-tte"/>
    <w:uiPriority w:val="99"/>
    <w:rsid w:val="0019771D"/>
  </w:style>
  <w:style w:type="paragraph" w:styleId="Pieddepage">
    <w:name w:val="footer"/>
    <w:basedOn w:val="Normal"/>
    <w:link w:val="PieddepageCar"/>
    <w:uiPriority w:val="99"/>
    <w:unhideWhenUsed/>
    <w:rsid w:val="0019771D"/>
    <w:pPr>
      <w:tabs>
        <w:tab w:val="center" w:pos="4536"/>
        <w:tab w:val="right" w:pos="9072"/>
      </w:tabs>
      <w:spacing w:line="240" w:lineRule="auto"/>
    </w:pPr>
  </w:style>
  <w:style w:type="character" w:customStyle="1" w:styleId="PieddepageCar">
    <w:name w:val="Pied de page Car"/>
    <w:basedOn w:val="Policepardfaut"/>
    <w:link w:val="Pieddepage"/>
    <w:uiPriority w:val="99"/>
    <w:rsid w:val="00197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fr-FR"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48F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8F7"/>
    <w:rPr>
      <w:rFonts w:ascii="Tahoma" w:hAnsi="Tahoma" w:cs="Tahoma"/>
      <w:sz w:val="16"/>
      <w:szCs w:val="16"/>
    </w:rPr>
  </w:style>
  <w:style w:type="paragraph" w:styleId="Paragraphedeliste">
    <w:name w:val="List Paragraph"/>
    <w:basedOn w:val="Normal"/>
    <w:uiPriority w:val="34"/>
    <w:qFormat/>
    <w:rsid w:val="00DC62AC"/>
    <w:pPr>
      <w:ind w:left="720"/>
      <w:contextualSpacing/>
    </w:pPr>
  </w:style>
  <w:style w:type="table" w:styleId="Grilledutableau">
    <w:name w:val="Table Grid"/>
    <w:basedOn w:val="TableauNormal"/>
    <w:uiPriority w:val="59"/>
    <w:rsid w:val="00DC62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DC62AC"/>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1">
    <w:name w:val="Light Shading Accent 1"/>
    <w:basedOn w:val="TableauNormal"/>
    <w:uiPriority w:val="60"/>
    <w:rsid w:val="00DC62AC"/>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DC62A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3">
    <w:name w:val="Medium List 1 Accent 3"/>
    <w:basedOn w:val="TableauNormal"/>
    <w:uiPriority w:val="65"/>
    <w:rsid w:val="00281095"/>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menufittitre">
    <w:name w:val="menufittitre"/>
    <w:basedOn w:val="Policepardfaut"/>
    <w:rsid w:val="003C29B2"/>
  </w:style>
  <w:style w:type="character" w:styleId="lev">
    <w:name w:val="Strong"/>
    <w:basedOn w:val="Policepardfaut"/>
    <w:uiPriority w:val="22"/>
    <w:qFormat/>
    <w:rsid w:val="003C29B2"/>
    <w:rPr>
      <w:b/>
      <w:bCs/>
    </w:rPr>
  </w:style>
  <w:style w:type="table" w:styleId="Tramemoyenne2-Accent6">
    <w:name w:val="Medium Shading 2 Accent 6"/>
    <w:basedOn w:val="TableauNormal"/>
    <w:uiPriority w:val="64"/>
    <w:rsid w:val="004C6E7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unhideWhenUsed/>
    <w:rsid w:val="0019771D"/>
    <w:pPr>
      <w:tabs>
        <w:tab w:val="center" w:pos="4536"/>
        <w:tab w:val="right" w:pos="9072"/>
      </w:tabs>
      <w:spacing w:line="240" w:lineRule="auto"/>
    </w:pPr>
  </w:style>
  <w:style w:type="character" w:customStyle="1" w:styleId="En-tteCar">
    <w:name w:val="En-tête Car"/>
    <w:basedOn w:val="Policepardfaut"/>
    <w:link w:val="En-tte"/>
    <w:uiPriority w:val="99"/>
    <w:rsid w:val="0019771D"/>
  </w:style>
  <w:style w:type="paragraph" w:styleId="Pieddepage">
    <w:name w:val="footer"/>
    <w:basedOn w:val="Normal"/>
    <w:link w:val="PieddepageCar"/>
    <w:uiPriority w:val="99"/>
    <w:unhideWhenUsed/>
    <w:rsid w:val="0019771D"/>
    <w:pPr>
      <w:tabs>
        <w:tab w:val="center" w:pos="4536"/>
        <w:tab w:val="right" w:pos="9072"/>
      </w:tabs>
      <w:spacing w:line="240" w:lineRule="auto"/>
    </w:pPr>
  </w:style>
  <w:style w:type="character" w:customStyle="1" w:styleId="PieddepageCar">
    <w:name w:val="Pied de page Car"/>
    <w:basedOn w:val="Policepardfaut"/>
    <w:link w:val="Pieddepage"/>
    <w:uiPriority w:val="99"/>
    <w:rsid w:val="0019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395A-73CA-42F9-83C3-659DF87E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3025</Words>
  <Characters>16642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olemaire</dc:creator>
  <cp:lastModifiedBy>olemaire</cp:lastModifiedBy>
  <cp:revision>2</cp:revision>
  <dcterms:created xsi:type="dcterms:W3CDTF">2019-08-04T13:20:00Z</dcterms:created>
  <dcterms:modified xsi:type="dcterms:W3CDTF">2019-08-04T13:20:00Z</dcterms:modified>
</cp:coreProperties>
</file>